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0D0DF6D" w14:textId="6516D71D" w:rsidR="00995208" w:rsidRDefault="00B16E93" w:rsidP="00B735D9">
      <w:bookmarkStart w:id="0" w:name="h.gjdgxs" w:colFirst="0" w:colLast="0"/>
      <w:bookmarkEnd w:id="0"/>
      <w:r>
        <w:rPr>
          <w:b/>
          <w:sz w:val="24"/>
          <w:szCs w:val="24"/>
        </w:rPr>
        <w:t xml:space="preserve">APPENDIX </w:t>
      </w:r>
      <w:r w:rsidR="00B735D9">
        <w:rPr>
          <w:b/>
          <w:sz w:val="24"/>
          <w:szCs w:val="24"/>
        </w:rPr>
        <w:t>1-9</w:t>
      </w:r>
      <w:r>
        <w:rPr>
          <w:b/>
          <w:sz w:val="24"/>
          <w:szCs w:val="24"/>
        </w:rPr>
        <w:t>.  Degradate Line of Evidence</w:t>
      </w:r>
    </w:p>
    <w:p w14:paraId="08180B7A" w14:textId="77777777" w:rsidR="00995208" w:rsidRDefault="00995208"/>
    <w:p w14:paraId="1D7D079C" w14:textId="77777777" w:rsidR="00995208" w:rsidRDefault="00995208"/>
    <w:p w14:paraId="6099BFAA" w14:textId="77777777" w:rsidR="00995208" w:rsidRDefault="00B16E93">
      <w:r>
        <w:rPr>
          <w:i/>
        </w:rPr>
        <w:t>Identification of Transformation Products of Concern</w:t>
      </w:r>
      <w:r>
        <w:t>:</w:t>
      </w:r>
    </w:p>
    <w:p w14:paraId="055ACE5A" w14:textId="77777777" w:rsidR="00995208" w:rsidRDefault="00995208"/>
    <w:p w14:paraId="07AB1443" w14:textId="7F5E0353" w:rsidR="00995208" w:rsidRPr="00264463" w:rsidRDefault="00B16E93">
      <w:r w:rsidRPr="00264463">
        <w:t>Chlorpyrifos is known to form chlorpyrifos-oxon, 3,5,6-trichloro-2-pyridinol (TCP), and 3,5,6-trichloro-2-methoxypyridine (TMP). Chlorpyrifos may oxidize in the environment to form the biologically active compound, chlorpyrifos-oxon via oxidative desulfonation. Cleavage of the chlorpyrifos phosphorus ester bond yields the</w:t>
      </w:r>
      <w:r w:rsidR="00B735D9">
        <w:t xml:space="preserve"> biologically inactive TCP</w:t>
      </w:r>
      <w:r w:rsidRPr="00264463">
        <w:t>. The phosphate moiety is required to bind within the active site of AChE. Available data also suggest that TCP may convert to TMP at relatively low concentrations (&lt;10%) (</w:t>
      </w:r>
      <w:r w:rsidRPr="00264463">
        <w:rPr>
          <w:b/>
        </w:rPr>
        <w:t xml:space="preserve">Figure </w:t>
      </w:r>
      <w:r w:rsidR="00B735D9">
        <w:rPr>
          <w:b/>
        </w:rPr>
        <w:t>B 1-9.1</w:t>
      </w:r>
      <w:r w:rsidRPr="00264463">
        <w:t xml:space="preserve">).  </w:t>
      </w:r>
    </w:p>
    <w:p w14:paraId="4934FF58" w14:textId="77777777" w:rsidR="00995208" w:rsidRDefault="00995208"/>
    <w:p w14:paraId="1134A4DE" w14:textId="77777777" w:rsidR="00995208" w:rsidRDefault="00995208"/>
    <w:p w14:paraId="2BA5A095" w14:textId="77777777" w:rsidR="00995208" w:rsidRDefault="00B16E93">
      <w:r>
        <w:rPr>
          <w:noProof/>
        </w:rPr>
        <w:drawing>
          <wp:inline distT="0" distB="0" distL="0" distR="0" wp14:anchorId="4A596B7C" wp14:editId="637D4F28">
            <wp:extent cx="5162550" cy="20859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5162550" cy="2085975"/>
                    </a:xfrm>
                    <a:prstGeom prst="rect">
                      <a:avLst/>
                    </a:prstGeom>
                    <a:ln/>
                  </pic:spPr>
                </pic:pic>
              </a:graphicData>
            </a:graphic>
          </wp:inline>
        </w:drawing>
      </w:r>
    </w:p>
    <w:p w14:paraId="0C0E35FF" w14:textId="2ACD7587" w:rsidR="00995208" w:rsidRDefault="00B16E93">
      <w:pPr>
        <w:spacing w:after="160" w:line="259" w:lineRule="auto"/>
      </w:pPr>
      <w:r>
        <w:rPr>
          <w:b/>
        </w:rPr>
        <w:t xml:space="preserve">Figure </w:t>
      </w:r>
      <w:r w:rsidR="00B735D9">
        <w:rPr>
          <w:b/>
        </w:rPr>
        <w:t>B 1-9.1</w:t>
      </w:r>
      <w:r>
        <w:t xml:space="preserve">.  </w:t>
      </w:r>
      <w:r>
        <w:rPr>
          <w:b/>
          <w:sz w:val="20"/>
          <w:szCs w:val="20"/>
        </w:rPr>
        <w:t xml:space="preserve">Structures of chlorpyrifos, chlorpyrifos-oxon, TCP and TMP.  </w:t>
      </w:r>
      <w:r w:rsidRPr="00F363DD">
        <w:rPr>
          <w:sz w:val="20"/>
          <w:szCs w:val="20"/>
        </w:rPr>
        <w:t>Red circles indicate the active moiety (the phosphate moiety is required to bind with the active site) of parent chlorpyrifos and chlorpyrifos-oxon.</w:t>
      </w:r>
    </w:p>
    <w:p w14:paraId="183A1E27" w14:textId="1349088D" w:rsidR="00995208" w:rsidRDefault="00B16E93" w:rsidP="00264463">
      <w:r>
        <w:t>Data are available for chlorpyrifos-oxon and three bird, one mammal, three fish, one amphibian, one aquatic invertebrate and one coral species (</w:t>
      </w:r>
      <w:r>
        <w:rPr>
          <w:b/>
        </w:rPr>
        <w:t xml:space="preserve">Table </w:t>
      </w:r>
      <w:r w:rsidR="00B735D9">
        <w:rPr>
          <w:b/>
        </w:rPr>
        <w:t>B 1-9.1</w:t>
      </w:r>
      <w:r>
        <w:t xml:space="preserve">). The available mortality, AChE, and reproduction endpoints for the parent and oxon are generally within an order of magnitude of each other, and indicate that chlorpyrifos-oxon is of similar or greater toxicity compared to the parent. Based on the available data, the greatest difference in toxicity is seen in aquatic-phase amphibians (tadpoles), where data indicate that chlorpyrifos-oxon is ~41 times more toxic than chlorpyrifos (again, see </w:t>
      </w:r>
      <w:r>
        <w:rPr>
          <w:b/>
        </w:rPr>
        <w:t xml:space="preserve">Table </w:t>
      </w:r>
      <w:r w:rsidR="00B735D9">
        <w:rPr>
          <w:b/>
        </w:rPr>
        <w:t>B 1-9.1</w:t>
      </w:r>
      <w:r>
        <w:t>).  Therefore, chlorpyrifos-oxon is considered to be a transformation product of concern.</w:t>
      </w:r>
    </w:p>
    <w:p w14:paraId="08A37F96" w14:textId="77777777" w:rsidR="00995208" w:rsidRDefault="00995208" w:rsidP="00264463"/>
    <w:p w14:paraId="03624090" w14:textId="7BA996B2" w:rsidR="00995208" w:rsidRDefault="00B16E93" w:rsidP="00264463">
      <w:r>
        <w:t>As discussed above, the primary degradate of chlorpyrifos is TCP. Toxicity data for TCP are available for three bird, one mammal, three fish, four aquatic invertebrate and three aquatic plant species (</w:t>
      </w:r>
      <w:r>
        <w:rPr>
          <w:b/>
        </w:rPr>
        <w:t xml:space="preserve">Table </w:t>
      </w:r>
      <w:r w:rsidR="00B735D9">
        <w:rPr>
          <w:b/>
        </w:rPr>
        <w:t>B 1-9.2</w:t>
      </w:r>
      <w:r>
        <w:t xml:space="preserve">).  TCP has been shown to form at up to roughly one third of the applied parent and is more mobile and more persistent than chlorpyrifos. TMP is expected to have similar toxicity as TCP (due to their structural similarities) and is expected to form at lower concentrations in the environment than TMP. The potential exposure to TCP or TMP is not expected to contribute significantly to the overall risk because TCP and TMP are expected to be generally orders of magnitude less toxic than chlorpyrifos.  </w:t>
      </w:r>
    </w:p>
    <w:p w14:paraId="6B538816" w14:textId="77777777" w:rsidR="00995208" w:rsidRDefault="00B16E93">
      <w:r>
        <w:br w:type="page"/>
      </w:r>
    </w:p>
    <w:p w14:paraId="7E98A189" w14:textId="77777777" w:rsidR="00995208" w:rsidRDefault="00995208"/>
    <w:p w14:paraId="4079F430" w14:textId="77777777" w:rsidR="00995208" w:rsidRDefault="00995208">
      <w:pPr>
        <w:spacing w:after="160" w:line="259" w:lineRule="auto"/>
      </w:pPr>
    </w:p>
    <w:p w14:paraId="2199B32D" w14:textId="50CD11DC" w:rsidR="00995208" w:rsidRPr="00264463" w:rsidRDefault="00B16E93">
      <w:r w:rsidRPr="00264463">
        <w:rPr>
          <w:b/>
        </w:rPr>
        <w:t xml:space="preserve">Table </w:t>
      </w:r>
      <w:r w:rsidR="00B735D9">
        <w:rPr>
          <w:b/>
        </w:rPr>
        <w:t>B 1-9.1</w:t>
      </w:r>
      <w:r w:rsidR="00CA5D0B">
        <w:rPr>
          <w:b/>
        </w:rPr>
        <w:t>. Comparison of toxicity data available for chlorpyrifos and c</w:t>
      </w:r>
      <w:r w:rsidRPr="00264463">
        <w:rPr>
          <w:b/>
        </w:rPr>
        <w:t xml:space="preserve">hlorpyrifos-oxon </w:t>
      </w:r>
    </w:p>
    <w:tbl>
      <w:tblPr>
        <w:tblStyle w:val="a"/>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513"/>
        <w:gridCol w:w="1624"/>
        <w:gridCol w:w="1723"/>
        <w:gridCol w:w="2138"/>
        <w:gridCol w:w="3082"/>
      </w:tblGrid>
      <w:tr w:rsidR="00995208" w:rsidRPr="00264463" w14:paraId="7658DE5C" w14:textId="77777777" w:rsidTr="00F363DD">
        <w:trPr>
          <w:trHeight w:val="20"/>
          <w:tblHeader/>
          <w:jc w:val="center"/>
        </w:trPr>
        <w:tc>
          <w:tcPr>
            <w:tcW w:w="1513" w:type="dxa"/>
            <w:shd w:val="clear" w:color="auto" w:fill="E7E6E6"/>
            <w:vAlign w:val="center"/>
          </w:tcPr>
          <w:p w14:paraId="207B81BE"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b/>
                <w:sz w:val="20"/>
                <w:szCs w:val="20"/>
              </w:rPr>
              <w:t>Test Species</w:t>
            </w:r>
          </w:p>
        </w:tc>
        <w:tc>
          <w:tcPr>
            <w:tcW w:w="1624" w:type="dxa"/>
            <w:shd w:val="clear" w:color="auto" w:fill="E7E6E6"/>
            <w:tcMar>
              <w:top w:w="72" w:type="dxa"/>
              <w:left w:w="144" w:type="dxa"/>
              <w:bottom w:w="72" w:type="dxa"/>
              <w:right w:w="144" w:type="dxa"/>
            </w:tcMar>
            <w:vAlign w:val="center"/>
          </w:tcPr>
          <w:p w14:paraId="3D2D18EF"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b/>
                <w:sz w:val="20"/>
                <w:szCs w:val="20"/>
              </w:rPr>
              <w:t>Endpoint (units)</w:t>
            </w:r>
          </w:p>
        </w:tc>
        <w:tc>
          <w:tcPr>
            <w:tcW w:w="1723" w:type="dxa"/>
            <w:shd w:val="clear" w:color="auto" w:fill="E7E6E6"/>
            <w:tcMar>
              <w:top w:w="72" w:type="dxa"/>
              <w:left w:w="144" w:type="dxa"/>
              <w:bottom w:w="72" w:type="dxa"/>
              <w:right w:w="144" w:type="dxa"/>
            </w:tcMar>
            <w:vAlign w:val="center"/>
          </w:tcPr>
          <w:p w14:paraId="06226A89"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b/>
                <w:sz w:val="20"/>
                <w:szCs w:val="20"/>
              </w:rPr>
              <w:t>Chlorpyrifos Value (CI) (Ref.)</w:t>
            </w:r>
          </w:p>
        </w:tc>
        <w:tc>
          <w:tcPr>
            <w:tcW w:w="2138" w:type="dxa"/>
            <w:shd w:val="clear" w:color="auto" w:fill="E7E6E6"/>
            <w:tcMar>
              <w:top w:w="72" w:type="dxa"/>
              <w:left w:w="144" w:type="dxa"/>
              <w:bottom w:w="72" w:type="dxa"/>
              <w:right w:w="144" w:type="dxa"/>
            </w:tcMar>
            <w:vAlign w:val="center"/>
          </w:tcPr>
          <w:p w14:paraId="715DB7D9"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b/>
                <w:sz w:val="20"/>
                <w:szCs w:val="20"/>
              </w:rPr>
              <w:t>Chlorpyrifos-oxon Value (CI) (Ref.)</w:t>
            </w:r>
          </w:p>
        </w:tc>
        <w:tc>
          <w:tcPr>
            <w:tcW w:w="3082" w:type="dxa"/>
            <w:shd w:val="clear" w:color="auto" w:fill="E7E6E6"/>
            <w:tcMar>
              <w:top w:w="72" w:type="dxa"/>
              <w:left w:w="144" w:type="dxa"/>
              <w:bottom w:w="72" w:type="dxa"/>
              <w:right w:w="144" w:type="dxa"/>
            </w:tcMar>
            <w:vAlign w:val="center"/>
          </w:tcPr>
          <w:p w14:paraId="3362F4DF"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b/>
                <w:sz w:val="20"/>
                <w:szCs w:val="20"/>
              </w:rPr>
              <w:t>Comments</w:t>
            </w:r>
          </w:p>
        </w:tc>
      </w:tr>
      <w:tr w:rsidR="00995208" w:rsidRPr="00264463" w14:paraId="13B0697F" w14:textId="77777777" w:rsidTr="00F363DD">
        <w:trPr>
          <w:trHeight w:val="20"/>
          <w:jc w:val="center"/>
        </w:trPr>
        <w:tc>
          <w:tcPr>
            <w:tcW w:w="10080" w:type="dxa"/>
            <w:gridSpan w:val="5"/>
            <w:shd w:val="clear" w:color="auto" w:fill="E7E6E6"/>
            <w:vAlign w:val="center"/>
          </w:tcPr>
          <w:p w14:paraId="4A5756F9"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b/>
                <w:i/>
                <w:sz w:val="20"/>
                <w:szCs w:val="20"/>
              </w:rPr>
              <w:t>TERRESTRIAL</w:t>
            </w:r>
          </w:p>
        </w:tc>
      </w:tr>
      <w:tr w:rsidR="00995208" w:rsidRPr="00264463" w14:paraId="6243E98B" w14:textId="77777777" w:rsidTr="00F363DD">
        <w:trPr>
          <w:trHeight w:val="1510"/>
          <w:jc w:val="center"/>
        </w:trPr>
        <w:tc>
          <w:tcPr>
            <w:tcW w:w="1513" w:type="dxa"/>
            <w:shd w:val="clear" w:color="auto" w:fill="FFFFFF"/>
            <w:vAlign w:val="center"/>
          </w:tcPr>
          <w:p w14:paraId="71CBFB36"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Northern bobwhite quail (</w:t>
            </w:r>
            <w:r w:rsidRPr="00264463">
              <w:rPr>
                <w:rFonts w:asciiTheme="minorHAnsi" w:hAnsiTheme="minorHAnsi"/>
                <w:i/>
                <w:sz w:val="20"/>
                <w:szCs w:val="20"/>
              </w:rPr>
              <w:t>Colinus virginianus</w:t>
            </w:r>
            <w:r w:rsidRPr="00264463">
              <w:rPr>
                <w:rFonts w:asciiTheme="minorHAnsi" w:hAnsiTheme="minorHAnsi"/>
                <w:sz w:val="20"/>
                <w:szCs w:val="20"/>
              </w:rPr>
              <w:t>)</w:t>
            </w:r>
          </w:p>
        </w:tc>
        <w:tc>
          <w:tcPr>
            <w:tcW w:w="1624" w:type="dxa"/>
            <w:shd w:val="clear" w:color="auto" w:fill="FFFFFF"/>
            <w:tcMar>
              <w:top w:w="72" w:type="dxa"/>
              <w:left w:w="144" w:type="dxa"/>
              <w:bottom w:w="72" w:type="dxa"/>
              <w:right w:w="144" w:type="dxa"/>
            </w:tcMar>
            <w:vAlign w:val="center"/>
          </w:tcPr>
          <w:p w14:paraId="39712ACC"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LC</w:t>
            </w:r>
            <w:r w:rsidRPr="00264463">
              <w:rPr>
                <w:rFonts w:asciiTheme="minorHAnsi" w:hAnsiTheme="minorHAnsi"/>
                <w:sz w:val="20"/>
                <w:szCs w:val="20"/>
                <w:vertAlign w:val="subscript"/>
              </w:rPr>
              <w:t>50</w:t>
            </w:r>
          </w:p>
          <w:p w14:paraId="4583A867"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(mg/kg-diet)</w:t>
            </w:r>
          </w:p>
        </w:tc>
        <w:tc>
          <w:tcPr>
            <w:tcW w:w="1723" w:type="dxa"/>
            <w:shd w:val="clear" w:color="auto" w:fill="FFFFFF"/>
            <w:tcMar>
              <w:top w:w="72" w:type="dxa"/>
              <w:left w:w="144" w:type="dxa"/>
              <w:bottom w:w="72" w:type="dxa"/>
              <w:right w:w="144" w:type="dxa"/>
            </w:tcMar>
            <w:vAlign w:val="center"/>
          </w:tcPr>
          <w:p w14:paraId="66E05E84" w14:textId="24C24891" w:rsidR="00995208" w:rsidRPr="00264463" w:rsidRDefault="007C1571">
            <w:pPr>
              <w:contextualSpacing w:val="0"/>
              <w:jc w:val="center"/>
              <w:rPr>
                <w:rFonts w:asciiTheme="minorHAnsi" w:hAnsiTheme="minorHAnsi"/>
                <w:sz w:val="20"/>
                <w:szCs w:val="20"/>
              </w:rPr>
            </w:pPr>
            <w:r>
              <w:rPr>
                <w:rFonts w:asciiTheme="minorHAnsi" w:hAnsiTheme="minorHAnsi"/>
                <w:sz w:val="20"/>
                <w:szCs w:val="20"/>
              </w:rPr>
              <w:t>283 (N</w:t>
            </w:r>
            <w:r w:rsidR="00B16E93" w:rsidRPr="00264463">
              <w:rPr>
                <w:rFonts w:asciiTheme="minorHAnsi" w:hAnsiTheme="minorHAnsi"/>
                <w:sz w:val="20"/>
                <w:szCs w:val="20"/>
              </w:rPr>
              <w:t>A</w:t>
            </w:r>
            <w:r w:rsidRPr="007C1571">
              <w:rPr>
                <w:rFonts w:asciiTheme="minorHAnsi" w:hAnsiTheme="minorHAnsi"/>
                <w:sz w:val="20"/>
                <w:szCs w:val="20"/>
                <w:vertAlign w:val="superscript"/>
              </w:rPr>
              <w:t>1</w:t>
            </w:r>
            <w:r w:rsidR="00B16E93" w:rsidRPr="00264463">
              <w:rPr>
                <w:rFonts w:asciiTheme="minorHAnsi" w:hAnsiTheme="minorHAnsi"/>
                <w:sz w:val="20"/>
                <w:szCs w:val="20"/>
              </w:rPr>
              <w:t>) (MRID 44585401)</w:t>
            </w:r>
          </w:p>
        </w:tc>
        <w:tc>
          <w:tcPr>
            <w:tcW w:w="2138" w:type="dxa"/>
            <w:shd w:val="clear" w:color="auto" w:fill="FFFFFF"/>
            <w:tcMar>
              <w:top w:w="72" w:type="dxa"/>
              <w:left w:w="144" w:type="dxa"/>
              <w:bottom w:w="72" w:type="dxa"/>
              <w:right w:w="144" w:type="dxa"/>
            </w:tcMar>
            <w:vAlign w:val="center"/>
          </w:tcPr>
          <w:p w14:paraId="4896EBC2"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 xml:space="preserve">175 (131 - 234) </w:t>
            </w:r>
          </w:p>
          <w:p w14:paraId="60DF4A57"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(MRID 48602602)</w:t>
            </w:r>
          </w:p>
        </w:tc>
        <w:tc>
          <w:tcPr>
            <w:tcW w:w="3082" w:type="dxa"/>
            <w:shd w:val="clear" w:color="auto" w:fill="FFFFFF"/>
            <w:tcMar>
              <w:top w:w="72" w:type="dxa"/>
              <w:left w:w="144" w:type="dxa"/>
              <w:bottom w:w="72" w:type="dxa"/>
              <w:right w:w="144" w:type="dxa"/>
            </w:tcMar>
            <w:vAlign w:val="center"/>
          </w:tcPr>
          <w:p w14:paraId="7133D5C7" w14:textId="77777777" w:rsidR="00995208" w:rsidRPr="00264463" w:rsidRDefault="00B16E93">
            <w:pPr>
              <w:contextualSpacing w:val="0"/>
              <w:rPr>
                <w:rFonts w:asciiTheme="minorHAnsi" w:hAnsiTheme="minorHAnsi"/>
                <w:sz w:val="20"/>
                <w:szCs w:val="20"/>
              </w:rPr>
            </w:pPr>
            <w:r w:rsidRPr="00264463">
              <w:rPr>
                <w:rFonts w:asciiTheme="minorHAnsi" w:hAnsiTheme="minorHAnsi"/>
                <w:sz w:val="20"/>
                <w:szCs w:val="20"/>
              </w:rPr>
              <w:t>Chlorpyrifos-oxon is ~1.6 times more toxic than chlorpyrifos (MRID 48602602 is supplemental because of poor stability of the oxon in the diet.</w:t>
            </w:r>
          </w:p>
          <w:p w14:paraId="6C9D1BE4" w14:textId="77777777" w:rsidR="00995208" w:rsidRPr="00264463" w:rsidRDefault="00B16E93">
            <w:pPr>
              <w:contextualSpacing w:val="0"/>
              <w:rPr>
                <w:rFonts w:asciiTheme="minorHAnsi" w:hAnsiTheme="minorHAnsi"/>
                <w:sz w:val="20"/>
                <w:szCs w:val="20"/>
              </w:rPr>
            </w:pPr>
            <w:r w:rsidRPr="00264463">
              <w:rPr>
                <w:rFonts w:asciiTheme="minorHAnsi" w:hAnsiTheme="minorHAnsi"/>
                <w:sz w:val="20"/>
                <w:szCs w:val="20"/>
              </w:rPr>
              <w:t>MRID 44585401 supplemental - temperature study; LC50 represents most sensitive endpoint at 27oC)</w:t>
            </w:r>
          </w:p>
        </w:tc>
      </w:tr>
      <w:tr w:rsidR="00995208" w:rsidRPr="00264463" w14:paraId="55C3F4DB" w14:textId="77777777" w:rsidTr="00F363DD">
        <w:trPr>
          <w:trHeight w:val="43"/>
          <w:jc w:val="center"/>
        </w:trPr>
        <w:tc>
          <w:tcPr>
            <w:tcW w:w="1513" w:type="dxa"/>
            <w:shd w:val="clear" w:color="auto" w:fill="FFFFFF"/>
            <w:vAlign w:val="center"/>
          </w:tcPr>
          <w:p w14:paraId="6263731A"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Mallard duck (</w:t>
            </w:r>
            <w:r w:rsidRPr="00264463">
              <w:rPr>
                <w:rFonts w:asciiTheme="minorHAnsi" w:hAnsiTheme="minorHAnsi"/>
                <w:i/>
                <w:sz w:val="20"/>
                <w:szCs w:val="20"/>
              </w:rPr>
              <w:t>Anas platyrhynchos</w:t>
            </w:r>
            <w:r w:rsidRPr="00264463">
              <w:rPr>
                <w:rFonts w:asciiTheme="minorHAnsi" w:hAnsiTheme="minorHAnsi"/>
                <w:sz w:val="20"/>
                <w:szCs w:val="20"/>
              </w:rPr>
              <w:t>)</w:t>
            </w:r>
          </w:p>
        </w:tc>
        <w:tc>
          <w:tcPr>
            <w:tcW w:w="1624" w:type="dxa"/>
            <w:shd w:val="clear" w:color="auto" w:fill="FFFFFF"/>
            <w:tcMar>
              <w:top w:w="72" w:type="dxa"/>
              <w:left w:w="144" w:type="dxa"/>
              <w:bottom w:w="72" w:type="dxa"/>
              <w:right w:w="144" w:type="dxa"/>
            </w:tcMar>
            <w:vAlign w:val="center"/>
          </w:tcPr>
          <w:p w14:paraId="1C43A515"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LC</w:t>
            </w:r>
            <w:r w:rsidRPr="00264463">
              <w:rPr>
                <w:rFonts w:asciiTheme="minorHAnsi" w:hAnsiTheme="minorHAnsi"/>
                <w:sz w:val="20"/>
                <w:szCs w:val="20"/>
                <w:vertAlign w:val="subscript"/>
              </w:rPr>
              <w:t>50</w:t>
            </w:r>
          </w:p>
          <w:p w14:paraId="6A20DB09"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(mg/kg-diet)</w:t>
            </w:r>
          </w:p>
        </w:tc>
        <w:tc>
          <w:tcPr>
            <w:tcW w:w="1723" w:type="dxa"/>
            <w:shd w:val="clear" w:color="auto" w:fill="FFFFFF"/>
            <w:tcMar>
              <w:top w:w="72" w:type="dxa"/>
              <w:left w:w="144" w:type="dxa"/>
              <w:bottom w:w="72" w:type="dxa"/>
              <w:right w:w="144" w:type="dxa"/>
            </w:tcMar>
            <w:vAlign w:val="center"/>
          </w:tcPr>
          <w:p w14:paraId="097FE242"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136 (84-212) (MRID 00095007)</w:t>
            </w:r>
          </w:p>
        </w:tc>
        <w:tc>
          <w:tcPr>
            <w:tcW w:w="2138" w:type="dxa"/>
            <w:shd w:val="clear" w:color="auto" w:fill="FFFFFF"/>
            <w:tcMar>
              <w:top w:w="72" w:type="dxa"/>
              <w:left w:w="144" w:type="dxa"/>
              <w:bottom w:w="72" w:type="dxa"/>
              <w:right w:w="144" w:type="dxa"/>
            </w:tcMar>
            <w:vAlign w:val="center"/>
          </w:tcPr>
          <w:p w14:paraId="0A17A65E"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 xml:space="preserve">523 (363 - 796) </w:t>
            </w:r>
          </w:p>
          <w:p w14:paraId="485613F4"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(MRID 48365701)</w:t>
            </w:r>
          </w:p>
        </w:tc>
        <w:tc>
          <w:tcPr>
            <w:tcW w:w="3082" w:type="dxa"/>
            <w:shd w:val="clear" w:color="auto" w:fill="FFFFFF"/>
            <w:tcMar>
              <w:top w:w="72" w:type="dxa"/>
              <w:left w:w="144" w:type="dxa"/>
              <w:bottom w:w="72" w:type="dxa"/>
              <w:right w:w="144" w:type="dxa"/>
            </w:tcMar>
            <w:vAlign w:val="center"/>
          </w:tcPr>
          <w:p w14:paraId="29484D23" w14:textId="77777777" w:rsidR="00995208" w:rsidRPr="00264463" w:rsidRDefault="00B16E93">
            <w:pPr>
              <w:contextualSpacing w:val="0"/>
              <w:rPr>
                <w:rFonts w:asciiTheme="minorHAnsi" w:hAnsiTheme="minorHAnsi"/>
                <w:sz w:val="20"/>
                <w:szCs w:val="20"/>
              </w:rPr>
            </w:pPr>
            <w:r w:rsidRPr="00264463">
              <w:rPr>
                <w:rFonts w:asciiTheme="minorHAnsi" w:hAnsiTheme="minorHAnsi"/>
                <w:sz w:val="20"/>
                <w:szCs w:val="20"/>
              </w:rPr>
              <w:t>Chlorpyrifos is ~3.8 times more toxic than chlorpyrifos-oxon</w:t>
            </w:r>
          </w:p>
        </w:tc>
      </w:tr>
      <w:tr w:rsidR="00995208" w:rsidRPr="00264463" w14:paraId="1CFCBAA8" w14:textId="77777777" w:rsidTr="00F363DD">
        <w:trPr>
          <w:trHeight w:val="18"/>
          <w:jc w:val="center"/>
        </w:trPr>
        <w:tc>
          <w:tcPr>
            <w:tcW w:w="1513" w:type="dxa"/>
            <w:shd w:val="clear" w:color="auto" w:fill="FFFFFF"/>
            <w:vAlign w:val="center"/>
          </w:tcPr>
          <w:p w14:paraId="599557CA"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Northern bobwhite quail (</w:t>
            </w:r>
            <w:r w:rsidRPr="00264463">
              <w:rPr>
                <w:rFonts w:asciiTheme="minorHAnsi" w:hAnsiTheme="minorHAnsi"/>
                <w:i/>
                <w:sz w:val="20"/>
                <w:szCs w:val="20"/>
              </w:rPr>
              <w:t>Colinus virginianus</w:t>
            </w:r>
            <w:r w:rsidRPr="00264463">
              <w:rPr>
                <w:rFonts w:asciiTheme="minorHAnsi" w:hAnsiTheme="minorHAnsi"/>
                <w:sz w:val="20"/>
                <w:szCs w:val="20"/>
              </w:rPr>
              <w:t>)</w:t>
            </w:r>
          </w:p>
        </w:tc>
        <w:tc>
          <w:tcPr>
            <w:tcW w:w="1624" w:type="dxa"/>
            <w:shd w:val="clear" w:color="auto" w:fill="FFFFFF"/>
            <w:tcMar>
              <w:top w:w="72" w:type="dxa"/>
              <w:left w:w="144" w:type="dxa"/>
              <w:bottom w:w="72" w:type="dxa"/>
              <w:right w:w="144" w:type="dxa"/>
            </w:tcMar>
            <w:vAlign w:val="center"/>
          </w:tcPr>
          <w:p w14:paraId="5155BF3E"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LD</w:t>
            </w:r>
            <w:r w:rsidRPr="00264463">
              <w:rPr>
                <w:rFonts w:asciiTheme="minorHAnsi" w:hAnsiTheme="minorHAnsi"/>
                <w:sz w:val="20"/>
                <w:szCs w:val="20"/>
                <w:vertAlign w:val="subscript"/>
              </w:rPr>
              <w:t>50</w:t>
            </w:r>
            <w:r w:rsidRPr="00264463">
              <w:rPr>
                <w:rFonts w:asciiTheme="minorHAnsi" w:hAnsiTheme="minorHAnsi"/>
                <w:sz w:val="20"/>
                <w:szCs w:val="20"/>
              </w:rPr>
              <w:t xml:space="preserve"> (mg-kg-bw)</w:t>
            </w:r>
          </w:p>
        </w:tc>
        <w:tc>
          <w:tcPr>
            <w:tcW w:w="1723" w:type="dxa"/>
            <w:shd w:val="clear" w:color="auto" w:fill="FFFFFF"/>
            <w:tcMar>
              <w:top w:w="72" w:type="dxa"/>
              <w:left w:w="144" w:type="dxa"/>
              <w:bottom w:w="72" w:type="dxa"/>
              <w:right w:w="144" w:type="dxa"/>
            </w:tcMar>
            <w:vAlign w:val="center"/>
          </w:tcPr>
          <w:p w14:paraId="619685B6"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32 (24-43) (MRID 41043901)</w:t>
            </w:r>
          </w:p>
        </w:tc>
        <w:tc>
          <w:tcPr>
            <w:tcW w:w="2138" w:type="dxa"/>
            <w:shd w:val="clear" w:color="auto" w:fill="FFFFFF"/>
            <w:tcMar>
              <w:top w:w="72" w:type="dxa"/>
              <w:left w:w="144" w:type="dxa"/>
              <w:bottom w:w="72" w:type="dxa"/>
              <w:right w:w="144" w:type="dxa"/>
            </w:tcMar>
            <w:vAlign w:val="center"/>
          </w:tcPr>
          <w:p w14:paraId="66948F4D"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8.8 (7.2 – 10.7)</w:t>
            </w:r>
          </w:p>
          <w:p w14:paraId="6C4A644C"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(MRID 48365702)</w:t>
            </w:r>
          </w:p>
        </w:tc>
        <w:tc>
          <w:tcPr>
            <w:tcW w:w="3082" w:type="dxa"/>
            <w:shd w:val="clear" w:color="auto" w:fill="FFFFFF"/>
            <w:tcMar>
              <w:top w:w="72" w:type="dxa"/>
              <w:left w:w="144" w:type="dxa"/>
              <w:bottom w:w="72" w:type="dxa"/>
              <w:right w:w="144" w:type="dxa"/>
            </w:tcMar>
            <w:vAlign w:val="center"/>
          </w:tcPr>
          <w:p w14:paraId="7CF6A3F4" w14:textId="77777777" w:rsidR="00995208" w:rsidRPr="00264463" w:rsidRDefault="00B16E93">
            <w:pPr>
              <w:contextualSpacing w:val="0"/>
              <w:rPr>
                <w:rFonts w:asciiTheme="minorHAnsi" w:hAnsiTheme="minorHAnsi"/>
                <w:sz w:val="20"/>
                <w:szCs w:val="20"/>
              </w:rPr>
            </w:pPr>
            <w:r w:rsidRPr="00264463">
              <w:rPr>
                <w:rFonts w:asciiTheme="minorHAnsi" w:hAnsiTheme="minorHAnsi"/>
                <w:sz w:val="20"/>
                <w:szCs w:val="20"/>
              </w:rPr>
              <w:t>Chlorpyrifos-oxon is ~3.6 times more toxic than chlorpyrifos</w:t>
            </w:r>
          </w:p>
        </w:tc>
      </w:tr>
      <w:tr w:rsidR="00995208" w:rsidRPr="00264463" w14:paraId="003C3411" w14:textId="77777777" w:rsidTr="00F363DD">
        <w:trPr>
          <w:trHeight w:val="20"/>
          <w:jc w:val="center"/>
        </w:trPr>
        <w:tc>
          <w:tcPr>
            <w:tcW w:w="1513" w:type="dxa"/>
            <w:shd w:val="clear" w:color="auto" w:fill="FFFFFF"/>
            <w:vAlign w:val="center"/>
          </w:tcPr>
          <w:p w14:paraId="269191FB"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Passerine</w:t>
            </w:r>
          </w:p>
        </w:tc>
        <w:tc>
          <w:tcPr>
            <w:tcW w:w="1624" w:type="dxa"/>
            <w:shd w:val="clear" w:color="auto" w:fill="FFFFFF"/>
            <w:tcMar>
              <w:top w:w="72" w:type="dxa"/>
              <w:left w:w="144" w:type="dxa"/>
              <w:bottom w:w="72" w:type="dxa"/>
              <w:right w:w="144" w:type="dxa"/>
            </w:tcMar>
            <w:vAlign w:val="center"/>
          </w:tcPr>
          <w:p w14:paraId="399A0095"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LD</w:t>
            </w:r>
            <w:r w:rsidRPr="00264463">
              <w:rPr>
                <w:rFonts w:asciiTheme="minorHAnsi" w:hAnsiTheme="minorHAnsi"/>
                <w:sz w:val="20"/>
                <w:szCs w:val="20"/>
                <w:vertAlign w:val="subscript"/>
              </w:rPr>
              <w:t>50</w:t>
            </w:r>
            <w:r w:rsidRPr="00264463">
              <w:rPr>
                <w:rFonts w:asciiTheme="minorHAnsi" w:hAnsiTheme="minorHAnsi"/>
                <w:sz w:val="20"/>
                <w:szCs w:val="20"/>
              </w:rPr>
              <w:t xml:space="preserve"> (mg-kg-bw)</w:t>
            </w:r>
          </w:p>
        </w:tc>
        <w:tc>
          <w:tcPr>
            <w:tcW w:w="1723" w:type="dxa"/>
            <w:shd w:val="clear" w:color="auto" w:fill="FFFFFF"/>
            <w:tcMar>
              <w:top w:w="72" w:type="dxa"/>
              <w:left w:w="144" w:type="dxa"/>
              <w:bottom w:w="72" w:type="dxa"/>
              <w:right w:w="144" w:type="dxa"/>
            </w:tcMar>
            <w:vAlign w:val="center"/>
          </w:tcPr>
          <w:p w14:paraId="64152905"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 xml:space="preserve">10 (5.62 – 17.8) (MRID 40378401) (House sparrow, </w:t>
            </w:r>
            <w:r w:rsidRPr="00264463">
              <w:rPr>
                <w:rFonts w:asciiTheme="minorHAnsi" w:hAnsiTheme="minorHAnsi"/>
                <w:i/>
                <w:sz w:val="20"/>
                <w:szCs w:val="20"/>
              </w:rPr>
              <w:t>Passer domesticus</w:t>
            </w:r>
            <w:r w:rsidRPr="00264463">
              <w:rPr>
                <w:rFonts w:asciiTheme="minorHAnsi" w:hAnsiTheme="minorHAnsi"/>
                <w:sz w:val="20"/>
                <w:szCs w:val="20"/>
              </w:rPr>
              <w:t>)</w:t>
            </w:r>
          </w:p>
        </w:tc>
        <w:tc>
          <w:tcPr>
            <w:tcW w:w="2138" w:type="dxa"/>
            <w:shd w:val="clear" w:color="auto" w:fill="FFFFFF"/>
            <w:tcMar>
              <w:top w:w="72" w:type="dxa"/>
              <w:left w:w="144" w:type="dxa"/>
              <w:bottom w:w="72" w:type="dxa"/>
              <w:right w:w="144" w:type="dxa"/>
            </w:tcMar>
            <w:vAlign w:val="center"/>
          </w:tcPr>
          <w:p w14:paraId="1AD39D4E" w14:textId="1AC2CEFF" w:rsidR="00995208" w:rsidRPr="00264463" w:rsidRDefault="007C1571">
            <w:pPr>
              <w:contextualSpacing w:val="0"/>
              <w:jc w:val="center"/>
              <w:rPr>
                <w:rFonts w:asciiTheme="minorHAnsi" w:hAnsiTheme="minorHAnsi"/>
                <w:sz w:val="20"/>
                <w:szCs w:val="20"/>
              </w:rPr>
            </w:pPr>
            <w:r>
              <w:rPr>
                <w:rFonts w:asciiTheme="minorHAnsi" w:hAnsiTheme="minorHAnsi"/>
                <w:sz w:val="20"/>
                <w:szCs w:val="20"/>
              </w:rPr>
              <w:t>&gt;30 (N</w:t>
            </w:r>
            <w:r w:rsidR="00B16E93" w:rsidRPr="00264463">
              <w:rPr>
                <w:rFonts w:asciiTheme="minorHAnsi" w:hAnsiTheme="minorHAnsi"/>
                <w:sz w:val="20"/>
                <w:szCs w:val="20"/>
              </w:rPr>
              <w:t xml:space="preserve">A) (MRID 48483703) (Zebra finch, </w:t>
            </w:r>
            <w:r w:rsidR="00B16E93" w:rsidRPr="00264463">
              <w:rPr>
                <w:rFonts w:asciiTheme="minorHAnsi" w:hAnsiTheme="minorHAnsi"/>
                <w:i/>
                <w:sz w:val="20"/>
                <w:szCs w:val="20"/>
              </w:rPr>
              <w:t>Taeniopygia guttata</w:t>
            </w:r>
            <w:r w:rsidR="00B16E93" w:rsidRPr="00264463">
              <w:rPr>
                <w:rFonts w:asciiTheme="minorHAnsi" w:hAnsiTheme="minorHAnsi"/>
                <w:sz w:val="20"/>
                <w:szCs w:val="20"/>
              </w:rPr>
              <w:t>)</w:t>
            </w:r>
          </w:p>
        </w:tc>
        <w:tc>
          <w:tcPr>
            <w:tcW w:w="3082" w:type="dxa"/>
            <w:shd w:val="clear" w:color="auto" w:fill="FFFFFF"/>
            <w:tcMar>
              <w:top w:w="72" w:type="dxa"/>
              <w:left w:w="144" w:type="dxa"/>
              <w:bottom w:w="72" w:type="dxa"/>
              <w:right w:w="144" w:type="dxa"/>
            </w:tcMar>
            <w:vAlign w:val="center"/>
          </w:tcPr>
          <w:p w14:paraId="43466FCF" w14:textId="77777777" w:rsidR="00995208" w:rsidRPr="00264463" w:rsidRDefault="00B16E93">
            <w:pPr>
              <w:contextualSpacing w:val="0"/>
              <w:rPr>
                <w:rFonts w:asciiTheme="minorHAnsi" w:hAnsiTheme="minorHAnsi"/>
                <w:sz w:val="20"/>
                <w:szCs w:val="20"/>
              </w:rPr>
            </w:pPr>
            <w:r w:rsidRPr="00264463">
              <w:rPr>
                <w:rFonts w:asciiTheme="minorHAnsi" w:hAnsiTheme="minorHAnsi"/>
                <w:sz w:val="20"/>
                <w:szCs w:val="20"/>
              </w:rPr>
              <w:t>Chlorpyrifos is &gt;3 times more toxic than chlorpyrifos-oxon (MRID 48483703 is supplemental because of regurgitation)</w:t>
            </w:r>
          </w:p>
        </w:tc>
      </w:tr>
      <w:tr w:rsidR="00995208" w:rsidRPr="00264463" w14:paraId="5129D5A6" w14:textId="77777777" w:rsidTr="00F363DD">
        <w:trPr>
          <w:trHeight w:val="20"/>
          <w:jc w:val="center"/>
        </w:trPr>
        <w:tc>
          <w:tcPr>
            <w:tcW w:w="1513" w:type="dxa"/>
            <w:shd w:val="clear" w:color="auto" w:fill="FFFFFF"/>
            <w:vAlign w:val="center"/>
          </w:tcPr>
          <w:p w14:paraId="20A617D1"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Rat (</w:t>
            </w:r>
            <w:r w:rsidRPr="00264463">
              <w:rPr>
                <w:rFonts w:asciiTheme="minorHAnsi" w:hAnsiTheme="minorHAnsi"/>
                <w:i/>
                <w:sz w:val="20"/>
                <w:szCs w:val="20"/>
              </w:rPr>
              <w:t>Rattus</w:t>
            </w:r>
            <w:r w:rsidRPr="00264463">
              <w:rPr>
                <w:rFonts w:asciiTheme="minorHAnsi" w:hAnsiTheme="minorHAnsi"/>
                <w:sz w:val="20"/>
                <w:szCs w:val="20"/>
              </w:rPr>
              <w:t xml:space="preserve"> sp.)</w:t>
            </w:r>
          </w:p>
        </w:tc>
        <w:tc>
          <w:tcPr>
            <w:tcW w:w="1624" w:type="dxa"/>
            <w:shd w:val="clear" w:color="auto" w:fill="FFFFFF"/>
            <w:tcMar>
              <w:top w:w="72" w:type="dxa"/>
              <w:left w:w="144" w:type="dxa"/>
              <w:bottom w:w="72" w:type="dxa"/>
              <w:right w:w="144" w:type="dxa"/>
            </w:tcMar>
            <w:vAlign w:val="center"/>
          </w:tcPr>
          <w:p w14:paraId="1EEC63C7"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LD</w:t>
            </w:r>
            <w:r w:rsidRPr="00264463">
              <w:rPr>
                <w:rFonts w:asciiTheme="minorHAnsi" w:hAnsiTheme="minorHAnsi"/>
                <w:sz w:val="20"/>
                <w:szCs w:val="20"/>
                <w:vertAlign w:val="subscript"/>
              </w:rPr>
              <w:t>50</w:t>
            </w:r>
            <w:r w:rsidRPr="00264463">
              <w:rPr>
                <w:rFonts w:asciiTheme="minorHAnsi" w:hAnsiTheme="minorHAnsi"/>
                <w:sz w:val="20"/>
                <w:szCs w:val="20"/>
              </w:rPr>
              <w:t xml:space="preserve"> (mg/kg-bw)</w:t>
            </w:r>
          </w:p>
        </w:tc>
        <w:tc>
          <w:tcPr>
            <w:tcW w:w="1723" w:type="dxa"/>
            <w:shd w:val="clear" w:color="auto" w:fill="FFFFFF"/>
            <w:tcMar>
              <w:top w:w="72" w:type="dxa"/>
              <w:left w:w="144" w:type="dxa"/>
              <w:bottom w:w="72" w:type="dxa"/>
              <w:right w:w="144" w:type="dxa"/>
            </w:tcMar>
            <w:vAlign w:val="center"/>
          </w:tcPr>
          <w:p w14:paraId="6DBC89A7" w14:textId="125E89D2" w:rsidR="00995208" w:rsidRPr="00264463" w:rsidRDefault="007C1571">
            <w:pPr>
              <w:contextualSpacing w:val="0"/>
              <w:jc w:val="center"/>
              <w:rPr>
                <w:rFonts w:asciiTheme="minorHAnsi" w:hAnsiTheme="minorHAnsi"/>
                <w:sz w:val="20"/>
                <w:szCs w:val="20"/>
              </w:rPr>
            </w:pPr>
            <w:r>
              <w:rPr>
                <w:rFonts w:asciiTheme="minorHAnsi" w:hAnsiTheme="minorHAnsi"/>
                <w:sz w:val="20"/>
                <w:szCs w:val="20"/>
              </w:rPr>
              <w:t>137 (N</w:t>
            </w:r>
            <w:r w:rsidR="00B16E93" w:rsidRPr="00264463">
              <w:rPr>
                <w:rFonts w:asciiTheme="minorHAnsi" w:hAnsiTheme="minorHAnsi"/>
                <w:sz w:val="20"/>
                <w:szCs w:val="20"/>
              </w:rPr>
              <w:t>A) (MRID 00000179)</w:t>
            </w:r>
          </w:p>
          <w:p w14:paraId="74F9CCFE" w14:textId="77777777" w:rsidR="00995208" w:rsidRPr="00264463" w:rsidRDefault="00995208">
            <w:pPr>
              <w:contextualSpacing w:val="0"/>
              <w:jc w:val="center"/>
              <w:rPr>
                <w:rFonts w:asciiTheme="minorHAnsi" w:hAnsiTheme="minorHAnsi"/>
                <w:sz w:val="20"/>
                <w:szCs w:val="20"/>
              </w:rPr>
            </w:pPr>
          </w:p>
        </w:tc>
        <w:tc>
          <w:tcPr>
            <w:tcW w:w="2138" w:type="dxa"/>
            <w:shd w:val="clear" w:color="auto" w:fill="FFFFFF"/>
            <w:tcMar>
              <w:top w:w="72" w:type="dxa"/>
              <w:left w:w="144" w:type="dxa"/>
              <w:bottom w:w="72" w:type="dxa"/>
              <w:right w:w="144" w:type="dxa"/>
            </w:tcMar>
            <w:vAlign w:val="center"/>
          </w:tcPr>
          <w:p w14:paraId="2E3A19E5"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794/870 (MRID 3F2884 4/1/91)</w:t>
            </w:r>
          </w:p>
        </w:tc>
        <w:tc>
          <w:tcPr>
            <w:tcW w:w="3082" w:type="dxa"/>
            <w:shd w:val="clear" w:color="auto" w:fill="FFFFFF"/>
            <w:tcMar>
              <w:top w:w="72" w:type="dxa"/>
              <w:left w:w="144" w:type="dxa"/>
              <w:bottom w:w="72" w:type="dxa"/>
              <w:right w:w="144" w:type="dxa"/>
            </w:tcMar>
            <w:vAlign w:val="center"/>
          </w:tcPr>
          <w:p w14:paraId="06003625" w14:textId="77777777" w:rsidR="00995208" w:rsidRPr="00264463" w:rsidRDefault="00B16E93">
            <w:pPr>
              <w:contextualSpacing w:val="0"/>
              <w:rPr>
                <w:rFonts w:asciiTheme="minorHAnsi" w:hAnsiTheme="minorHAnsi"/>
                <w:sz w:val="20"/>
                <w:szCs w:val="20"/>
              </w:rPr>
            </w:pPr>
            <w:r w:rsidRPr="00264463">
              <w:rPr>
                <w:rFonts w:asciiTheme="minorHAnsi" w:hAnsiTheme="minorHAnsi"/>
                <w:sz w:val="20"/>
                <w:szCs w:val="20"/>
              </w:rPr>
              <w:t>Chlorpyrifos is ~ 5.8 times more toxic than chlorpyrifos-oxon</w:t>
            </w:r>
          </w:p>
        </w:tc>
      </w:tr>
      <w:tr w:rsidR="00995208" w:rsidRPr="00264463" w14:paraId="03A87BF5" w14:textId="77777777" w:rsidTr="00F363DD">
        <w:trPr>
          <w:trHeight w:val="20"/>
          <w:jc w:val="center"/>
        </w:trPr>
        <w:tc>
          <w:tcPr>
            <w:tcW w:w="1513" w:type="dxa"/>
            <w:shd w:val="clear" w:color="auto" w:fill="FFFFFF"/>
            <w:vAlign w:val="center"/>
          </w:tcPr>
          <w:p w14:paraId="4CF62196"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Norway rat, adult - acute (</w:t>
            </w:r>
            <w:r w:rsidRPr="00264463">
              <w:rPr>
                <w:rFonts w:asciiTheme="minorHAnsi" w:hAnsiTheme="minorHAnsi"/>
                <w:i/>
                <w:sz w:val="20"/>
                <w:szCs w:val="20"/>
              </w:rPr>
              <w:t>Rattus norvegicus</w:t>
            </w:r>
            <w:r w:rsidRPr="00264463">
              <w:rPr>
                <w:rFonts w:asciiTheme="minorHAnsi" w:hAnsiTheme="minorHAnsi"/>
                <w:sz w:val="20"/>
                <w:szCs w:val="20"/>
              </w:rPr>
              <w:t>)</w:t>
            </w:r>
          </w:p>
        </w:tc>
        <w:tc>
          <w:tcPr>
            <w:tcW w:w="1624" w:type="dxa"/>
            <w:shd w:val="clear" w:color="auto" w:fill="FFFFFF"/>
            <w:tcMar>
              <w:top w:w="72" w:type="dxa"/>
              <w:left w:w="144" w:type="dxa"/>
              <w:bottom w:w="72" w:type="dxa"/>
              <w:right w:w="144" w:type="dxa"/>
            </w:tcMar>
            <w:vAlign w:val="center"/>
          </w:tcPr>
          <w:p w14:paraId="197360FE"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NOAEC/LOAEC (Plasma ChE) (mg/kg-bw)</w:t>
            </w:r>
          </w:p>
        </w:tc>
        <w:tc>
          <w:tcPr>
            <w:tcW w:w="1723" w:type="dxa"/>
            <w:shd w:val="clear" w:color="auto" w:fill="FFFFFF"/>
            <w:tcMar>
              <w:top w:w="72" w:type="dxa"/>
              <w:left w:w="144" w:type="dxa"/>
              <w:bottom w:w="72" w:type="dxa"/>
              <w:right w:w="144" w:type="dxa"/>
            </w:tcMar>
            <w:vAlign w:val="center"/>
          </w:tcPr>
          <w:p w14:paraId="7A5CC085" w14:textId="7ACA94C6" w:rsidR="00995208" w:rsidRPr="00264463" w:rsidRDefault="007C1571">
            <w:pPr>
              <w:contextualSpacing w:val="0"/>
              <w:jc w:val="center"/>
              <w:rPr>
                <w:rFonts w:asciiTheme="minorHAnsi" w:hAnsiTheme="minorHAnsi"/>
                <w:sz w:val="20"/>
                <w:szCs w:val="20"/>
              </w:rPr>
            </w:pPr>
            <w:r>
              <w:rPr>
                <w:rFonts w:asciiTheme="minorHAnsi" w:hAnsiTheme="minorHAnsi"/>
                <w:sz w:val="20"/>
                <w:szCs w:val="20"/>
              </w:rPr>
              <w:t>0.5/2 (N</w:t>
            </w:r>
            <w:r w:rsidR="00B16E93" w:rsidRPr="00264463">
              <w:rPr>
                <w:rFonts w:asciiTheme="minorHAnsi" w:hAnsiTheme="minorHAnsi"/>
                <w:sz w:val="20"/>
                <w:szCs w:val="20"/>
              </w:rPr>
              <w:t>A) (48139301)</w:t>
            </w:r>
          </w:p>
        </w:tc>
        <w:tc>
          <w:tcPr>
            <w:tcW w:w="2138" w:type="dxa"/>
            <w:shd w:val="clear" w:color="auto" w:fill="FFFFFF"/>
            <w:tcMar>
              <w:top w:w="72" w:type="dxa"/>
              <w:left w:w="144" w:type="dxa"/>
              <w:bottom w:w="72" w:type="dxa"/>
              <w:right w:w="144" w:type="dxa"/>
            </w:tcMar>
            <w:vAlign w:val="center"/>
          </w:tcPr>
          <w:p w14:paraId="53529CC3" w14:textId="2FBAE4B9"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 xml:space="preserve">0.1/0.5 </w:t>
            </w:r>
            <w:r w:rsidR="007C1571">
              <w:rPr>
                <w:rFonts w:asciiTheme="minorHAnsi" w:hAnsiTheme="minorHAnsi"/>
                <w:sz w:val="20"/>
                <w:szCs w:val="20"/>
              </w:rPr>
              <w:t>(N</w:t>
            </w:r>
            <w:r w:rsidRPr="00264463">
              <w:rPr>
                <w:rFonts w:asciiTheme="minorHAnsi" w:hAnsiTheme="minorHAnsi"/>
                <w:sz w:val="20"/>
                <w:szCs w:val="20"/>
              </w:rPr>
              <w:t>A) (48139301)</w:t>
            </w:r>
          </w:p>
        </w:tc>
        <w:tc>
          <w:tcPr>
            <w:tcW w:w="3082" w:type="dxa"/>
            <w:shd w:val="clear" w:color="auto" w:fill="FFFFFF"/>
            <w:tcMar>
              <w:top w:w="72" w:type="dxa"/>
              <w:left w:w="144" w:type="dxa"/>
              <w:bottom w:w="72" w:type="dxa"/>
              <w:right w:w="144" w:type="dxa"/>
            </w:tcMar>
            <w:vAlign w:val="center"/>
          </w:tcPr>
          <w:p w14:paraId="2354B4CA" w14:textId="77777777" w:rsidR="00995208" w:rsidRPr="00264463" w:rsidRDefault="00B16E93">
            <w:pPr>
              <w:contextualSpacing w:val="0"/>
              <w:rPr>
                <w:rFonts w:asciiTheme="minorHAnsi" w:hAnsiTheme="minorHAnsi"/>
                <w:sz w:val="20"/>
                <w:szCs w:val="20"/>
              </w:rPr>
            </w:pPr>
            <w:r w:rsidRPr="00264463">
              <w:rPr>
                <w:rFonts w:asciiTheme="minorHAnsi" w:hAnsiTheme="minorHAnsi"/>
                <w:sz w:val="20"/>
                <w:szCs w:val="20"/>
              </w:rPr>
              <w:t>Chlorpyrifos-oxon is ~ 4 times more toxic than chlorpyrifos (based on the LOAEC values)</w:t>
            </w:r>
          </w:p>
        </w:tc>
      </w:tr>
      <w:tr w:rsidR="00995208" w:rsidRPr="00264463" w14:paraId="67A659D4" w14:textId="77777777" w:rsidTr="00F363DD">
        <w:trPr>
          <w:trHeight w:val="88"/>
          <w:jc w:val="center"/>
        </w:trPr>
        <w:tc>
          <w:tcPr>
            <w:tcW w:w="1513" w:type="dxa"/>
            <w:shd w:val="clear" w:color="auto" w:fill="FFFFFF"/>
            <w:vAlign w:val="center"/>
          </w:tcPr>
          <w:p w14:paraId="71A81FEC"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Norway rat, adult - acute (</w:t>
            </w:r>
            <w:r w:rsidRPr="00264463">
              <w:rPr>
                <w:rFonts w:asciiTheme="minorHAnsi" w:hAnsiTheme="minorHAnsi"/>
                <w:i/>
                <w:sz w:val="20"/>
                <w:szCs w:val="20"/>
              </w:rPr>
              <w:t>Rattus norvegicus</w:t>
            </w:r>
            <w:r w:rsidRPr="00264463">
              <w:rPr>
                <w:rFonts w:asciiTheme="minorHAnsi" w:hAnsiTheme="minorHAnsi"/>
                <w:sz w:val="20"/>
                <w:szCs w:val="20"/>
              </w:rPr>
              <w:t>)</w:t>
            </w:r>
          </w:p>
        </w:tc>
        <w:tc>
          <w:tcPr>
            <w:tcW w:w="1624" w:type="dxa"/>
            <w:shd w:val="clear" w:color="auto" w:fill="FFFFFF"/>
            <w:tcMar>
              <w:top w:w="72" w:type="dxa"/>
              <w:left w:w="144" w:type="dxa"/>
              <w:bottom w:w="72" w:type="dxa"/>
              <w:right w:w="144" w:type="dxa"/>
            </w:tcMar>
            <w:vAlign w:val="center"/>
          </w:tcPr>
          <w:p w14:paraId="59DD8A3B"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NOAEC/LOAEC (RBC ChE) (mg/kg-bw)</w:t>
            </w:r>
          </w:p>
        </w:tc>
        <w:tc>
          <w:tcPr>
            <w:tcW w:w="1723" w:type="dxa"/>
            <w:shd w:val="clear" w:color="auto" w:fill="FFFFFF"/>
            <w:tcMar>
              <w:top w:w="72" w:type="dxa"/>
              <w:left w:w="144" w:type="dxa"/>
              <w:bottom w:w="72" w:type="dxa"/>
              <w:right w:w="144" w:type="dxa"/>
            </w:tcMar>
            <w:vAlign w:val="center"/>
          </w:tcPr>
          <w:p w14:paraId="230CF00C" w14:textId="0CEBBD57" w:rsidR="00995208" w:rsidRPr="00264463" w:rsidRDefault="007C1571">
            <w:pPr>
              <w:contextualSpacing w:val="0"/>
              <w:jc w:val="center"/>
              <w:rPr>
                <w:rFonts w:asciiTheme="minorHAnsi" w:hAnsiTheme="minorHAnsi"/>
                <w:sz w:val="20"/>
                <w:szCs w:val="20"/>
              </w:rPr>
            </w:pPr>
            <w:r>
              <w:rPr>
                <w:rFonts w:asciiTheme="minorHAnsi" w:hAnsiTheme="minorHAnsi"/>
                <w:sz w:val="20"/>
                <w:szCs w:val="20"/>
              </w:rPr>
              <w:t>0.5/2 (N</w:t>
            </w:r>
            <w:r w:rsidR="00B16E93" w:rsidRPr="00264463">
              <w:rPr>
                <w:rFonts w:asciiTheme="minorHAnsi" w:hAnsiTheme="minorHAnsi"/>
                <w:sz w:val="20"/>
                <w:szCs w:val="20"/>
              </w:rPr>
              <w:t>A) (48139301)</w:t>
            </w:r>
          </w:p>
        </w:tc>
        <w:tc>
          <w:tcPr>
            <w:tcW w:w="2138" w:type="dxa"/>
            <w:shd w:val="clear" w:color="auto" w:fill="FFFFFF"/>
            <w:tcMar>
              <w:top w:w="72" w:type="dxa"/>
              <w:left w:w="144" w:type="dxa"/>
              <w:bottom w:w="72" w:type="dxa"/>
              <w:right w:w="144" w:type="dxa"/>
            </w:tcMar>
            <w:vAlign w:val="center"/>
          </w:tcPr>
          <w:p w14:paraId="4261C471" w14:textId="77406EFF" w:rsidR="00995208" w:rsidRPr="00264463" w:rsidRDefault="007C1571">
            <w:pPr>
              <w:contextualSpacing w:val="0"/>
              <w:jc w:val="center"/>
              <w:rPr>
                <w:rFonts w:asciiTheme="minorHAnsi" w:hAnsiTheme="minorHAnsi"/>
                <w:sz w:val="20"/>
                <w:szCs w:val="20"/>
              </w:rPr>
            </w:pPr>
            <w:r>
              <w:rPr>
                <w:rFonts w:asciiTheme="minorHAnsi" w:hAnsiTheme="minorHAnsi"/>
                <w:sz w:val="20"/>
                <w:szCs w:val="20"/>
              </w:rPr>
              <w:t>0.1/0.5 (N</w:t>
            </w:r>
            <w:r w:rsidR="00B16E93" w:rsidRPr="00264463">
              <w:rPr>
                <w:rFonts w:asciiTheme="minorHAnsi" w:hAnsiTheme="minorHAnsi"/>
                <w:sz w:val="20"/>
                <w:szCs w:val="20"/>
              </w:rPr>
              <w:t>A) (48139301)</w:t>
            </w:r>
          </w:p>
        </w:tc>
        <w:tc>
          <w:tcPr>
            <w:tcW w:w="3082" w:type="dxa"/>
            <w:shd w:val="clear" w:color="auto" w:fill="FFFFFF"/>
            <w:tcMar>
              <w:top w:w="72" w:type="dxa"/>
              <w:left w:w="144" w:type="dxa"/>
              <w:bottom w:w="72" w:type="dxa"/>
              <w:right w:w="144" w:type="dxa"/>
            </w:tcMar>
            <w:vAlign w:val="center"/>
          </w:tcPr>
          <w:p w14:paraId="3BB9F2DA" w14:textId="77777777" w:rsidR="00995208" w:rsidRPr="00264463" w:rsidRDefault="00B16E93">
            <w:pPr>
              <w:contextualSpacing w:val="0"/>
              <w:rPr>
                <w:rFonts w:asciiTheme="minorHAnsi" w:hAnsiTheme="minorHAnsi"/>
                <w:sz w:val="20"/>
                <w:szCs w:val="20"/>
              </w:rPr>
            </w:pPr>
            <w:r w:rsidRPr="00264463">
              <w:rPr>
                <w:rFonts w:asciiTheme="minorHAnsi" w:hAnsiTheme="minorHAnsi"/>
                <w:sz w:val="20"/>
                <w:szCs w:val="20"/>
              </w:rPr>
              <w:t>Chlorpyrifos-oxon is ~ 4 times more toxic than chlorpyrifos (based on the LOAEC values)</w:t>
            </w:r>
          </w:p>
        </w:tc>
      </w:tr>
      <w:tr w:rsidR="00995208" w:rsidRPr="00264463" w14:paraId="57A064D1" w14:textId="77777777" w:rsidTr="00F363DD">
        <w:trPr>
          <w:trHeight w:val="20"/>
          <w:jc w:val="center"/>
        </w:trPr>
        <w:tc>
          <w:tcPr>
            <w:tcW w:w="1513" w:type="dxa"/>
            <w:shd w:val="clear" w:color="auto" w:fill="FFFFFF"/>
            <w:vAlign w:val="center"/>
          </w:tcPr>
          <w:p w14:paraId="73D1028A"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Norway rat, adult - acute (</w:t>
            </w:r>
            <w:r w:rsidRPr="00264463">
              <w:rPr>
                <w:rFonts w:asciiTheme="minorHAnsi" w:hAnsiTheme="minorHAnsi"/>
                <w:i/>
                <w:sz w:val="20"/>
                <w:szCs w:val="20"/>
              </w:rPr>
              <w:t>Rattus norvegicus</w:t>
            </w:r>
            <w:r w:rsidRPr="00264463">
              <w:rPr>
                <w:rFonts w:asciiTheme="minorHAnsi" w:hAnsiTheme="minorHAnsi"/>
                <w:sz w:val="20"/>
                <w:szCs w:val="20"/>
              </w:rPr>
              <w:t>)</w:t>
            </w:r>
          </w:p>
        </w:tc>
        <w:tc>
          <w:tcPr>
            <w:tcW w:w="1624" w:type="dxa"/>
            <w:shd w:val="clear" w:color="auto" w:fill="FFFFFF"/>
            <w:tcMar>
              <w:top w:w="72" w:type="dxa"/>
              <w:left w:w="144" w:type="dxa"/>
              <w:bottom w:w="72" w:type="dxa"/>
              <w:right w:w="144" w:type="dxa"/>
            </w:tcMar>
            <w:vAlign w:val="center"/>
          </w:tcPr>
          <w:p w14:paraId="345B50E2"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NOAEC/LOAEC (Brain ChE) (mg/kg-bw)</w:t>
            </w:r>
          </w:p>
        </w:tc>
        <w:tc>
          <w:tcPr>
            <w:tcW w:w="1723" w:type="dxa"/>
            <w:shd w:val="clear" w:color="auto" w:fill="FFFFFF"/>
            <w:tcMar>
              <w:top w:w="72" w:type="dxa"/>
              <w:left w:w="144" w:type="dxa"/>
              <w:bottom w:w="72" w:type="dxa"/>
              <w:right w:w="144" w:type="dxa"/>
            </w:tcMar>
            <w:vAlign w:val="center"/>
          </w:tcPr>
          <w:p w14:paraId="2E3AC58B" w14:textId="5BDA22F4" w:rsidR="00995208" w:rsidRPr="00264463" w:rsidRDefault="007C1571">
            <w:pPr>
              <w:contextualSpacing w:val="0"/>
              <w:jc w:val="center"/>
              <w:rPr>
                <w:rFonts w:asciiTheme="minorHAnsi" w:hAnsiTheme="minorHAnsi"/>
                <w:sz w:val="20"/>
                <w:szCs w:val="20"/>
              </w:rPr>
            </w:pPr>
            <w:r>
              <w:rPr>
                <w:rFonts w:asciiTheme="minorHAnsi" w:hAnsiTheme="minorHAnsi"/>
                <w:sz w:val="20"/>
                <w:szCs w:val="20"/>
              </w:rPr>
              <w:t>2/10 (N</w:t>
            </w:r>
            <w:r w:rsidR="00B16E93" w:rsidRPr="00264463">
              <w:rPr>
                <w:rFonts w:asciiTheme="minorHAnsi" w:hAnsiTheme="minorHAnsi"/>
                <w:sz w:val="20"/>
                <w:szCs w:val="20"/>
              </w:rPr>
              <w:t>A) (48139301)</w:t>
            </w:r>
          </w:p>
        </w:tc>
        <w:tc>
          <w:tcPr>
            <w:tcW w:w="2138" w:type="dxa"/>
            <w:shd w:val="clear" w:color="auto" w:fill="FFFFFF"/>
            <w:tcMar>
              <w:top w:w="72" w:type="dxa"/>
              <w:left w:w="144" w:type="dxa"/>
              <w:bottom w:w="72" w:type="dxa"/>
              <w:right w:w="144" w:type="dxa"/>
            </w:tcMar>
            <w:vAlign w:val="center"/>
          </w:tcPr>
          <w:p w14:paraId="1FB93E5D"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Not inhibited (48139301)</w:t>
            </w:r>
          </w:p>
        </w:tc>
        <w:tc>
          <w:tcPr>
            <w:tcW w:w="3082" w:type="dxa"/>
            <w:shd w:val="clear" w:color="auto" w:fill="FFFFFF"/>
            <w:tcMar>
              <w:top w:w="72" w:type="dxa"/>
              <w:left w:w="144" w:type="dxa"/>
              <w:bottom w:w="72" w:type="dxa"/>
              <w:right w:w="144" w:type="dxa"/>
            </w:tcMar>
            <w:vAlign w:val="center"/>
          </w:tcPr>
          <w:p w14:paraId="209A3999" w14:textId="77777777" w:rsidR="00995208" w:rsidRPr="00264463" w:rsidRDefault="00B16E93">
            <w:pPr>
              <w:contextualSpacing w:val="0"/>
              <w:rPr>
                <w:rFonts w:asciiTheme="minorHAnsi" w:hAnsiTheme="minorHAnsi"/>
                <w:sz w:val="20"/>
                <w:szCs w:val="20"/>
              </w:rPr>
            </w:pPr>
            <w:r w:rsidRPr="00264463">
              <w:rPr>
                <w:rFonts w:asciiTheme="minorHAnsi" w:hAnsiTheme="minorHAnsi"/>
                <w:sz w:val="20"/>
                <w:szCs w:val="20"/>
              </w:rPr>
              <w:t xml:space="preserve">Chlorpyrifos is more toxic than chlorpyrifos-oxon </w:t>
            </w:r>
          </w:p>
        </w:tc>
      </w:tr>
      <w:tr w:rsidR="00995208" w:rsidRPr="00264463" w14:paraId="612A7E36" w14:textId="77777777" w:rsidTr="00F363DD">
        <w:trPr>
          <w:trHeight w:val="20"/>
          <w:jc w:val="center"/>
        </w:trPr>
        <w:tc>
          <w:tcPr>
            <w:tcW w:w="1513" w:type="dxa"/>
            <w:shd w:val="clear" w:color="auto" w:fill="FFFFFF"/>
            <w:vAlign w:val="center"/>
          </w:tcPr>
          <w:p w14:paraId="3F4895A5"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 xml:space="preserve">Norway rat, pup - acute </w:t>
            </w:r>
            <w:r w:rsidRPr="00264463">
              <w:rPr>
                <w:rFonts w:asciiTheme="minorHAnsi" w:hAnsiTheme="minorHAnsi"/>
                <w:sz w:val="20"/>
                <w:szCs w:val="20"/>
              </w:rPr>
              <w:lastRenderedPageBreak/>
              <w:t>(</w:t>
            </w:r>
            <w:r w:rsidRPr="00264463">
              <w:rPr>
                <w:rFonts w:asciiTheme="minorHAnsi" w:hAnsiTheme="minorHAnsi"/>
                <w:i/>
                <w:sz w:val="20"/>
                <w:szCs w:val="20"/>
              </w:rPr>
              <w:t>Rattus norvegicus</w:t>
            </w:r>
            <w:r w:rsidRPr="00264463">
              <w:rPr>
                <w:rFonts w:asciiTheme="minorHAnsi" w:hAnsiTheme="minorHAnsi"/>
                <w:sz w:val="20"/>
                <w:szCs w:val="20"/>
              </w:rPr>
              <w:t>)</w:t>
            </w:r>
          </w:p>
        </w:tc>
        <w:tc>
          <w:tcPr>
            <w:tcW w:w="1624" w:type="dxa"/>
            <w:shd w:val="clear" w:color="auto" w:fill="FFFFFF"/>
            <w:tcMar>
              <w:top w:w="72" w:type="dxa"/>
              <w:left w:w="144" w:type="dxa"/>
              <w:bottom w:w="72" w:type="dxa"/>
              <w:right w:w="144" w:type="dxa"/>
            </w:tcMar>
            <w:vAlign w:val="center"/>
          </w:tcPr>
          <w:p w14:paraId="5EA1AE1C"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lastRenderedPageBreak/>
              <w:t>NOAEC/LOAEC (Plasma ChE) (mg/kg-bw)</w:t>
            </w:r>
          </w:p>
        </w:tc>
        <w:tc>
          <w:tcPr>
            <w:tcW w:w="1723" w:type="dxa"/>
            <w:shd w:val="clear" w:color="auto" w:fill="FFFFFF"/>
            <w:tcMar>
              <w:top w:w="72" w:type="dxa"/>
              <w:left w:w="144" w:type="dxa"/>
              <w:bottom w:w="72" w:type="dxa"/>
              <w:right w:w="144" w:type="dxa"/>
            </w:tcMar>
            <w:vAlign w:val="center"/>
          </w:tcPr>
          <w:p w14:paraId="7BA159D6" w14:textId="5880FC1D" w:rsidR="00995208" w:rsidRPr="00264463" w:rsidRDefault="007C1571">
            <w:pPr>
              <w:contextualSpacing w:val="0"/>
              <w:jc w:val="center"/>
              <w:rPr>
                <w:rFonts w:asciiTheme="minorHAnsi" w:hAnsiTheme="minorHAnsi"/>
                <w:sz w:val="20"/>
                <w:szCs w:val="20"/>
              </w:rPr>
            </w:pPr>
            <w:r>
              <w:rPr>
                <w:rFonts w:asciiTheme="minorHAnsi" w:hAnsiTheme="minorHAnsi"/>
                <w:sz w:val="20"/>
                <w:szCs w:val="20"/>
              </w:rPr>
              <w:t>0.5/2 (N</w:t>
            </w:r>
            <w:r w:rsidR="00B16E93" w:rsidRPr="00264463">
              <w:rPr>
                <w:rFonts w:asciiTheme="minorHAnsi" w:hAnsiTheme="minorHAnsi"/>
                <w:sz w:val="20"/>
                <w:szCs w:val="20"/>
              </w:rPr>
              <w:t>A) (48139301)</w:t>
            </w:r>
          </w:p>
        </w:tc>
        <w:tc>
          <w:tcPr>
            <w:tcW w:w="2138" w:type="dxa"/>
            <w:shd w:val="clear" w:color="auto" w:fill="FFFFFF"/>
            <w:tcMar>
              <w:top w:w="72" w:type="dxa"/>
              <w:left w:w="144" w:type="dxa"/>
              <w:bottom w:w="72" w:type="dxa"/>
              <w:right w:w="144" w:type="dxa"/>
            </w:tcMar>
            <w:vAlign w:val="center"/>
          </w:tcPr>
          <w:p w14:paraId="780055A2" w14:textId="3B965DD6" w:rsidR="00995208" w:rsidRPr="00264463" w:rsidRDefault="007C1571">
            <w:pPr>
              <w:contextualSpacing w:val="0"/>
              <w:jc w:val="center"/>
              <w:rPr>
                <w:rFonts w:asciiTheme="minorHAnsi" w:hAnsiTheme="minorHAnsi"/>
                <w:sz w:val="20"/>
                <w:szCs w:val="20"/>
              </w:rPr>
            </w:pPr>
            <w:r>
              <w:rPr>
                <w:rFonts w:asciiTheme="minorHAnsi" w:hAnsiTheme="minorHAnsi"/>
                <w:sz w:val="20"/>
                <w:szCs w:val="20"/>
              </w:rPr>
              <w:t>0.05/0.1 (N</w:t>
            </w:r>
            <w:r w:rsidR="00B16E93" w:rsidRPr="00264463">
              <w:rPr>
                <w:rFonts w:asciiTheme="minorHAnsi" w:hAnsiTheme="minorHAnsi"/>
                <w:sz w:val="20"/>
                <w:szCs w:val="20"/>
              </w:rPr>
              <w:t>A) (48139301)</w:t>
            </w:r>
          </w:p>
        </w:tc>
        <w:tc>
          <w:tcPr>
            <w:tcW w:w="3082" w:type="dxa"/>
            <w:shd w:val="clear" w:color="auto" w:fill="FFFFFF"/>
            <w:tcMar>
              <w:top w:w="72" w:type="dxa"/>
              <w:left w:w="144" w:type="dxa"/>
              <w:bottom w:w="72" w:type="dxa"/>
              <w:right w:w="144" w:type="dxa"/>
            </w:tcMar>
            <w:vAlign w:val="center"/>
          </w:tcPr>
          <w:p w14:paraId="3FE22176" w14:textId="77777777" w:rsidR="00995208" w:rsidRPr="00264463" w:rsidRDefault="00B16E93">
            <w:pPr>
              <w:contextualSpacing w:val="0"/>
              <w:rPr>
                <w:rFonts w:asciiTheme="minorHAnsi" w:hAnsiTheme="minorHAnsi"/>
                <w:sz w:val="20"/>
                <w:szCs w:val="20"/>
              </w:rPr>
            </w:pPr>
            <w:r w:rsidRPr="00264463">
              <w:rPr>
                <w:rFonts w:asciiTheme="minorHAnsi" w:hAnsiTheme="minorHAnsi"/>
                <w:sz w:val="20"/>
                <w:szCs w:val="20"/>
              </w:rPr>
              <w:t>Chlorpyrifos-oxon is ~20 times more toxic than chlorpyrifos (based on the LOAEC values)</w:t>
            </w:r>
          </w:p>
        </w:tc>
      </w:tr>
      <w:tr w:rsidR="00995208" w:rsidRPr="00264463" w14:paraId="548B177A" w14:textId="77777777" w:rsidTr="00F363DD">
        <w:trPr>
          <w:trHeight w:val="20"/>
          <w:jc w:val="center"/>
        </w:trPr>
        <w:tc>
          <w:tcPr>
            <w:tcW w:w="1513" w:type="dxa"/>
            <w:shd w:val="clear" w:color="auto" w:fill="FFFFFF"/>
            <w:vAlign w:val="center"/>
          </w:tcPr>
          <w:p w14:paraId="3638CF5C"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Norway rat, pup - acute (</w:t>
            </w:r>
            <w:r w:rsidRPr="00264463">
              <w:rPr>
                <w:rFonts w:asciiTheme="minorHAnsi" w:hAnsiTheme="minorHAnsi"/>
                <w:i/>
                <w:sz w:val="20"/>
                <w:szCs w:val="20"/>
              </w:rPr>
              <w:t>Rattus norvegicus</w:t>
            </w:r>
            <w:r w:rsidRPr="00264463">
              <w:rPr>
                <w:rFonts w:asciiTheme="minorHAnsi" w:hAnsiTheme="minorHAnsi"/>
                <w:sz w:val="20"/>
                <w:szCs w:val="20"/>
              </w:rPr>
              <w:t>)</w:t>
            </w:r>
          </w:p>
        </w:tc>
        <w:tc>
          <w:tcPr>
            <w:tcW w:w="1624" w:type="dxa"/>
            <w:shd w:val="clear" w:color="auto" w:fill="FFFFFF"/>
            <w:tcMar>
              <w:top w:w="72" w:type="dxa"/>
              <w:left w:w="144" w:type="dxa"/>
              <w:bottom w:w="72" w:type="dxa"/>
              <w:right w:w="144" w:type="dxa"/>
            </w:tcMar>
            <w:vAlign w:val="center"/>
          </w:tcPr>
          <w:p w14:paraId="3C77CBEC"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NOAEC/LOAEC (RBC ChE) (mg/kg-bw)</w:t>
            </w:r>
          </w:p>
        </w:tc>
        <w:tc>
          <w:tcPr>
            <w:tcW w:w="1723" w:type="dxa"/>
            <w:shd w:val="clear" w:color="auto" w:fill="FFFFFF"/>
            <w:tcMar>
              <w:top w:w="72" w:type="dxa"/>
              <w:left w:w="144" w:type="dxa"/>
              <w:bottom w:w="72" w:type="dxa"/>
              <w:right w:w="144" w:type="dxa"/>
            </w:tcMar>
            <w:vAlign w:val="center"/>
          </w:tcPr>
          <w:p w14:paraId="5AD6EBDB" w14:textId="54DD807D" w:rsidR="00995208" w:rsidRPr="00264463" w:rsidRDefault="007C1571">
            <w:pPr>
              <w:contextualSpacing w:val="0"/>
              <w:jc w:val="center"/>
              <w:rPr>
                <w:rFonts w:asciiTheme="minorHAnsi" w:hAnsiTheme="minorHAnsi"/>
                <w:sz w:val="20"/>
                <w:szCs w:val="20"/>
              </w:rPr>
            </w:pPr>
            <w:r>
              <w:rPr>
                <w:rFonts w:asciiTheme="minorHAnsi" w:hAnsiTheme="minorHAnsi"/>
                <w:sz w:val="20"/>
                <w:szCs w:val="20"/>
              </w:rPr>
              <w:t>0.5/2 (N</w:t>
            </w:r>
            <w:r w:rsidR="00B16E93" w:rsidRPr="00264463">
              <w:rPr>
                <w:rFonts w:asciiTheme="minorHAnsi" w:hAnsiTheme="minorHAnsi"/>
                <w:sz w:val="20"/>
                <w:szCs w:val="20"/>
              </w:rPr>
              <w:t>A) (48139301)</w:t>
            </w:r>
          </w:p>
        </w:tc>
        <w:tc>
          <w:tcPr>
            <w:tcW w:w="2138" w:type="dxa"/>
            <w:shd w:val="clear" w:color="auto" w:fill="FFFFFF"/>
            <w:tcMar>
              <w:top w:w="72" w:type="dxa"/>
              <w:left w:w="144" w:type="dxa"/>
              <w:bottom w:w="72" w:type="dxa"/>
              <w:right w:w="144" w:type="dxa"/>
            </w:tcMar>
            <w:vAlign w:val="center"/>
          </w:tcPr>
          <w:p w14:paraId="02232992" w14:textId="508CB91C" w:rsidR="00995208" w:rsidRPr="00264463" w:rsidRDefault="007C1571">
            <w:pPr>
              <w:contextualSpacing w:val="0"/>
              <w:jc w:val="center"/>
              <w:rPr>
                <w:rFonts w:asciiTheme="minorHAnsi" w:hAnsiTheme="minorHAnsi"/>
                <w:sz w:val="20"/>
                <w:szCs w:val="20"/>
              </w:rPr>
            </w:pPr>
            <w:r>
              <w:rPr>
                <w:rFonts w:asciiTheme="minorHAnsi" w:hAnsiTheme="minorHAnsi"/>
                <w:sz w:val="20"/>
                <w:szCs w:val="20"/>
              </w:rPr>
              <w:t>0.1/0.5 (N</w:t>
            </w:r>
            <w:r w:rsidR="00B16E93" w:rsidRPr="00264463">
              <w:rPr>
                <w:rFonts w:asciiTheme="minorHAnsi" w:hAnsiTheme="minorHAnsi"/>
                <w:sz w:val="20"/>
                <w:szCs w:val="20"/>
              </w:rPr>
              <w:t>A) (48139301)</w:t>
            </w:r>
          </w:p>
        </w:tc>
        <w:tc>
          <w:tcPr>
            <w:tcW w:w="3082" w:type="dxa"/>
            <w:shd w:val="clear" w:color="auto" w:fill="FFFFFF"/>
            <w:tcMar>
              <w:top w:w="72" w:type="dxa"/>
              <w:left w:w="144" w:type="dxa"/>
              <w:bottom w:w="72" w:type="dxa"/>
              <w:right w:w="144" w:type="dxa"/>
            </w:tcMar>
            <w:vAlign w:val="center"/>
          </w:tcPr>
          <w:p w14:paraId="19FE86EE" w14:textId="77777777" w:rsidR="00995208" w:rsidRPr="00264463" w:rsidRDefault="00B16E93">
            <w:pPr>
              <w:contextualSpacing w:val="0"/>
              <w:rPr>
                <w:rFonts w:asciiTheme="minorHAnsi" w:hAnsiTheme="minorHAnsi"/>
                <w:sz w:val="20"/>
                <w:szCs w:val="20"/>
              </w:rPr>
            </w:pPr>
            <w:r w:rsidRPr="00264463">
              <w:rPr>
                <w:rFonts w:asciiTheme="minorHAnsi" w:hAnsiTheme="minorHAnsi"/>
                <w:sz w:val="20"/>
                <w:szCs w:val="20"/>
              </w:rPr>
              <w:t>Chlorpyrifos-oxon is 4 times more toxic than chlorpyrifos (based on the LOAEC values)</w:t>
            </w:r>
          </w:p>
        </w:tc>
      </w:tr>
      <w:tr w:rsidR="00995208" w:rsidRPr="00264463" w14:paraId="3E8666F8" w14:textId="77777777" w:rsidTr="00F363DD">
        <w:trPr>
          <w:trHeight w:val="20"/>
          <w:jc w:val="center"/>
        </w:trPr>
        <w:tc>
          <w:tcPr>
            <w:tcW w:w="1513" w:type="dxa"/>
            <w:shd w:val="clear" w:color="auto" w:fill="FFFFFF"/>
            <w:vAlign w:val="center"/>
          </w:tcPr>
          <w:p w14:paraId="77108AF1"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Norway rat, pup - acute (</w:t>
            </w:r>
            <w:r w:rsidRPr="00264463">
              <w:rPr>
                <w:rFonts w:asciiTheme="minorHAnsi" w:hAnsiTheme="minorHAnsi"/>
                <w:i/>
                <w:sz w:val="20"/>
                <w:szCs w:val="20"/>
              </w:rPr>
              <w:t>Rattus norvegicus</w:t>
            </w:r>
            <w:r w:rsidRPr="00264463">
              <w:rPr>
                <w:rFonts w:asciiTheme="minorHAnsi" w:hAnsiTheme="minorHAnsi"/>
                <w:sz w:val="20"/>
                <w:szCs w:val="20"/>
              </w:rPr>
              <w:t>)</w:t>
            </w:r>
          </w:p>
        </w:tc>
        <w:tc>
          <w:tcPr>
            <w:tcW w:w="1624" w:type="dxa"/>
            <w:shd w:val="clear" w:color="auto" w:fill="FFFFFF"/>
            <w:tcMar>
              <w:top w:w="72" w:type="dxa"/>
              <w:left w:w="144" w:type="dxa"/>
              <w:bottom w:w="72" w:type="dxa"/>
              <w:right w:w="144" w:type="dxa"/>
            </w:tcMar>
            <w:vAlign w:val="center"/>
          </w:tcPr>
          <w:p w14:paraId="50AF47C5"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NOAEC/LOAEC (Brain ChE) (mg/kg-bw)</w:t>
            </w:r>
          </w:p>
        </w:tc>
        <w:tc>
          <w:tcPr>
            <w:tcW w:w="1723" w:type="dxa"/>
            <w:shd w:val="clear" w:color="auto" w:fill="FFFFFF"/>
            <w:tcMar>
              <w:top w:w="72" w:type="dxa"/>
              <w:left w:w="144" w:type="dxa"/>
              <w:bottom w:w="72" w:type="dxa"/>
              <w:right w:w="144" w:type="dxa"/>
            </w:tcMar>
            <w:vAlign w:val="center"/>
          </w:tcPr>
          <w:p w14:paraId="6F613318" w14:textId="223B6036" w:rsidR="00995208" w:rsidRPr="00264463" w:rsidRDefault="007C1571">
            <w:pPr>
              <w:contextualSpacing w:val="0"/>
              <w:jc w:val="center"/>
              <w:rPr>
                <w:rFonts w:asciiTheme="minorHAnsi" w:hAnsiTheme="minorHAnsi"/>
                <w:sz w:val="20"/>
                <w:szCs w:val="20"/>
              </w:rPr>
            </w:pPr>
            <w:r>
              <w:rPr>
                <w:rFonts w:asciiTheme="minorHAnsi" w:hAnsiTheme="minorHAnsi"/>
                <w:sz w:val="20"/>
                <w:szCs w:val="20"/>
              </w:rPr>
              <w:t>2/5 (N</w:t>
            </w:r>
            <w:r w:rsidR="00B16E93" w:rsidRPr="00264463">
              <w:rPr>
                <w:rFonts w:asciiTheme="minorHAnsi" w:hAnsiTheme="minorHAnsi"/>
                <w:sz w:val="20"/>
                <w:szCs w:val="20"/>
              </w:rPr>
              <w:t>A) (48139301)</w:t>
            </w:r>
          </w:p>
        </w:tc>
        <w:tc>
          <w:tcPr>
            <w:tcW w:w="2138" w:type="dxa"/>
            <w:shd w:val="clear" w:color="auto" w:fill="FFFFFF"/>
            <w:tcMar>
              <w:top w:w="72" w:type="dxa"/>
              <w:left w:w="144" w:type="dxa"/>
              <w:bottom w:w="72" w:type="dxa"/>
              <w:right w:w="144" w:type="dxa"/>
            </w:tcMar>
            <w:vAlign w:val="center"/>
          </w:tcPr>
          <w:p w14:paraId="7EF21A73"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Not inhibited (48139301)</w:t>
            </w:r>
          </w:p>
        </w:tc>
        <w:tc>
          <w:tcPr>
            <w:tcW w:w="3082" w:type="dxa"/>
            <w:shd w:val="clear" w:color="auto" w:fill="FFFFFF"/>
            <w:tcMar>
              <w:top w:w="72" w:type="dxa"/>
              <w:left w:w="144" w:type="dxa"/>
              <w:bottom w:w="72" w:type="dxa"/>
              <w:right w:w="144" w:type="dxa"/>
            </w:tcMar>
            <w:vAlign w:val="center"/>
          </w:tcPr>
          <w:p w14:paraId="28ED9C00" w14:textId="77777777" w:rsidR="00995208" w:rsidRPr="00264463" w:rsidRDefault="00B16E93">
            <w:pPr>
              <w:contextualSpacing w:val="0"/>
              <w:rPr>
                <w:rFonts w:asciiTheme="minorHAnsi" w:hAnsiTheme="minorHAnsi"/>
                <w:sz w:val="20"/>
                <w:szCs w:val="20"/>
              </w:rPr>
            </w:pPr>
            <w:r w:rsidRPr="00264463">
              <w:rPr>
                <w:rFonts w:asciiTheme="minorHAnsi" w:hAnsiTheme="minorHAnsi"/>
                <w:sz w:val="20"/>
                <w:szCs w:val="20"/>
              </w:rPr>
              <w:t>Chlorpyrifos is more toxic than chlorpyrifos-oxon</w:t>
            </w:r>
          </w:p>
        </w:tc>
      </w:tr>
      <w:tr w:rsidR="00995208" w:rsidRPr="00264463" w14:paraId="5B028AC1" w14:textId="77777777" w:rsidTr="00F363DD">
        <w:trPr>
          <w:trHeight w:val="20"/>
          <w:jc w:val="center"/>
        </w:trPr>
        <w:tc>
          <w:tcPr>
            <w:tcW w:w="1513" w:type="dxa"/>
            <w:shd w:val="clear" w:color="auto" w:fill="FFFFFF"/>
            <w:vAlign w:val="center"/>
          </w:tcPr>
          <w:p w14:paraId="4529100F"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Norway rat, adult - chronic (</w:t>
            </w:r>
            <w:r w:rsidRPr="00264463">
              <w:rPr>
                <w:rFonts w:asciiTheme="minorHAnsi" w:hAnsiTheme="minorHAnsi"/>
                <w:i/>
                <w:sz w:val="20"/>
                <w:szCs w:val="20"/>
              </w:rPr>
              <w:t>Rattus norvegicus</w:t>
            </w:r>
            <w:r w:rsidRPr="00264463">
              <w:rPr>
                <w:rFonts w:asciiTheme="minorHAnsi" w:hAnsiTheme="minorHAnsi"/>
                <w:sz w:val="20"/>
                <w:szCs w:val="20"/>
              </w:rPr>
              <w:t>)</w:t>
            </w:r>
          </w:p>
        </w:tc>
        <w:tc>
          <w:tcPr>
            <w:tcW w:w="1624" w:type="dxa"/>
            <w:shd w:val="clear" w:color="auto" w:fill="FFFFFF"/>
            <w:tcMar>
              <w:top w:w="72" w:type="dxa"/>
              <w:left w:w="144" w:type="dxa"/>
              <w:bottom w:w="72" w:type="dxa"/>
              <w:right w:w="144" w:type="dxa"/>
            </w:tcMar>
            <w:vAlign w:val="center"/>
          </w:tcPr>
          <w:p w14:paraId="5359F2BA"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NOAEC/LOAEC (Plasma ChE) (mg/kg-bw)</w:t>
            </w:r>
          </w:p>
        </w:tc>
        <w:tc>
          <w:tcPr>
            <w:tcW w:w="1723" w:type="dxa"/>
            <w:shd w:val="clear" w:color="auto" w:fill="FFFFFF"/>
            <w:tcMar>
              <w:top w:w="72" w:type="dxa"/>
              <w:left w:w="144" w:type="dxa"/>
              <w:bottom w:w="72" w:type="dxa"/>
              <w:right w:w="144" w:type="dxa"/>
            </w:tcMar>
            <w:vAlign w:val="center"/>
          </w:tcPr>
          <w:p w14:paraId="3CC1BD43" w14:textId="62439B17" w:rsidR="00995208" w:rsidRPr="00264463" w:rsidRDefault="007C1571">
            <w:pPr>
              <w:contextualSpacing w:val="0"/>
              <w:jc w:val="center"/>
              <w:rPr>
                <w:rFonts w:asciiTheme="minorHAnsi" w:hAnsiTheme="minorHAnsi"/>
                <w:sz w:val="20"/>
                <w:szCs w:val="20"/>
              </w:rPr>
            </w:pPr>
            <w:r>
              <w:rPr>
                <w:rFonts w:asciiTheme="minorHAnsi" w:hAnsiTheme="minorHAnsi"/>
                <w:sz w:val="20"/>
                <w:szCs w:val="20"/>
              </w:rPr>
              <w:t>0.1/0.5 (N</w:t>
            </w:r>
            <w:r w:rsidR="00B16E93" w:rsidRPr="00264463">
              <w:rPr>
                <w:rFonts w:asciiTheme="minorHAnsi" w:hAnsiTheme="minorHAnsi"/>
                <w:sz w:val="20"/>
                <w:szCs w:val="20"/>
              </w:rPr>
              <w:t>A) (48139301)</w:t>
            </w:r>
          </w:p>
        </w:tc>
        <w:tc>
          <w:tcPr>
            <w:tcW w:w="2138" w:type="dxa"/>
            <w:shd w:val="clear" w:color="auto" w:fill="FFFFFF"/>
            <w:tcMar>
              <w:top w:w="72" w:type="dxa"/>
              <w:left w:w="144" w:type="dxa"/>
              <w:bottom w:w="72" w:type="dxa"/>
              <w:right w:w="144" w:type="dxa"/>
            </w:tcMar>
            <w:vAlign w:val="center"/>
          </w:tcPr>
          <w:p w14:paraId="6F867832" w14:textId="13D97BAA" w:rsidR="00995208" w:rsidRPr="00264463" w:rsidRDefault="007C1571">
            <w:pPr>
              <w:contextualSpacing w:val="0"/>
              <w:jc w:val="center"/>
              <w:rPr>
                <w:rFonts w:asciiTheme="minorHAnsi" w:hAnsiTheme="minorHAnsi"/>
                <w:sz w:val="20"/>
                <w:szCs w:val="20"/>
              </w:rPr>
            </w:pPr>
            <w:r>
              <w:rPr>
                <w:rFonts w:asciiTheme="minorHAnsi" w:hAnsiTheme="minorHAnsi"/>
                <w:sz w:val="20"/>
                <w:szCs w:val="20"/>
              </w:rPr>
              <w:t>0.01/0.5 (N</w:t>
            </w:r>
            <w:r w:rsidR="00B16E93" w:rsidRPr="00264463">
              <w:rPr>
                <w:rFonts w:asciiTheme="minorHAnsi" w:hAnsiTheme="minorHAnsi"/>
                <w:sz w:val="20"/>
                <w:szCs w:val="20"/>
              </w:rPr>
              <w:t>A) (48139301)</w:t>
            </w:r>
          </w:p>
        </w:tc>
        <w:tc>
          <w:tcPr>
            <w:tcW w:w="3082" w:type="dxa"/>
            <w:shd w:val="clear" w:color="auto" w:fill="FFFFFF"/>
            <w:tcMar>
              <w:top w:w="72" w:type="dxa"/>
              <w:left w:w="144" w:type="dxa"/>
              <w:bottom w:w="72" w:type="dxa"/>
              <w:right w:w="144" w:type="dxa"/>
            </w:tcMar>
            <w:vAlign w:val="center"/>
          </w:tcPr>
          <w:p w14:paraId="14BE1399" w14:textId="77777777" w:rsidR="00995208" w:rsidRPr="00264463" w:rsidRDefault="00B16E93">
            <w:pPr>
              <w:contextualSpacing w:val="0"/>
              <w:rPr>
                <w:rFonts w:asciiTheme="minorHAnsi" w:hAnsiTheme="minorHAnsi"/>
                <w:sz w:val="20"/>
                <w:szCs w:val="20"/>
              </w:rPr>
            </w:pPr>
            <w:r w:rsidRPr="00264463">
              <w:rPr>
                <w:rFonts w:asciiTheme="minorHAnsi" w:hAnsiTheme="minorHAnsi"/>
                <w:sz w:val="20"/>
                <w:szCs w:val="20"/>
              </w:rPr>
              <w:t>Similar toxicity (based on the LOAEC values)</w:t>
            </w:r>
          </w:p>
        </w:tc>
      </w:tr>
      <w:tr w:rsidR="00995208" w:rsidRPr="00264463" w14:paraId="10548746" w14:textId="77777777" w:rsidTr="00F363DD">
        <w:trPr>
          <w:trHeight w:val="20"/>
          <w:jc w:val="center"/>
        </w:trPr>
        <w:tc>
          <w:tcPr>
            <w:tcW w:w="1513" w:type="dxa"/>
            <w:shd w:val="clear" w:color="auto" w:fill="FFFFFF"/>
            <w:vAlign w:val="center"/>
          </w:tcPr>
          <w:p w14:paraId="0B91F478"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Norway rat, adult - chronic (</w:t>
            </w:r>
            <w:r w:rsidRPr="00264463">
              <w:rPr>
                <w:rFonts w:asciiTheme="minorHAnsi" w:hAnsiTheme="minorHAnsi"/>
                <w:i/>
                <w:sz w:val="20"/>
                <w:szCs w:val="20"/>
              </w:rPr>
              <w:t>Rattus norvegicus</w:t>
            </w:r>
            <w:r w:rsidRPr="00264463">
              <w:rPr>
                <w:rFonts w:asciiTheme="minorHAnsi" w:hAnsiTheme="minorHAnsi"/>
                <w:sz w:val="20"/>
                <w:szCs w:val="20"/>
              </w:rPr>
              <w:t>)</w:t>
            </w:r>
          </w:p>
        </w:tc>
        <w:tc>
          <w:tcPr>
            <w:tcW w:w="1624" w:type="dxa"/>
            <w:shd w:val="clear" w:color="auto" w:fill="FFFFFF"/>
            <w:tcMar>
              <w:top w:w="72" w:type="dxa"/>
              <w:left w:w="144" w:type="dxa"/>
              <w:bottom w:w="72" w:type="dxa"/>
              <w:right w:w="144" w:type="dxa"/>
            </w:tcMar>
            <w:vAlign w:val="center"/>
          </w:tcPr>
          <w:p w14:paraId="795C57B6"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NOAEC/LOAEC (RBC ChE) (mg/kg-bw)</w:t>
            </w:r>
          </w:p>
        </w:tc>
        <w:tc>
          <w:tcPr>
            <w:tcW w:w="1723" w:type="dxa"/>
            <w:shd w:val="clear" w:color="auto" w:fill="FFFFFF"/>
            <w:tcMar>
              <w:top w:w="72" w:type="dxa"/>
              <w:left w:w="144" w:type="dxa"/>
              <w:bottom w:w="72" w:type="dxa"/>
              <w:right w:w="144" w:type="dxa"/>
            </w:tcMar>
            <w:vAlign w:val="center"/>
          </w:tcPr>
          <w:p w14:paraId="669DE331" w14:textId="0BDF8ABC" w:rsidR="00995208" w:rsidRPr="00264463" w:rsidRDefault="007C1571">
            <w:pPr>
              <w:contextualSpacing w:val="0"/>
              <w:jc w:val="center"/>
              <w:rPr>
                <w:rFonts w:asciiTheme="minorHAnsi" w:hAnsiTheme="minorHAnsi"/>
                <w:sz w:val="20"/>
                <w:szCs w:val="20"/>
              </w:rPr>
            </w:pPr>
            <w:r>
              <w:rPr>
                <w:rFonts w:asciiTheme="minorHAnsi" w:hAnsiTheme="minorHAnsi"/>
                <w:sz w:val="20"/>
                <w:szCs w:val="20"/>
              </w:rPr>
              <w:t>0.1/0.5 (N</w:t>
            </w:r>
            <w:r w:rsidR="00B16E93" w:rsidRPr="00264463">
              <w:rPr>
                <w:rFonts w:asciiTheme="minorHAnsi" w:hAnsiTheme="minorHAnsi"/>
                <w:sz w:val="20"/>
                <w:szCs w:val="20"/>
              </w:rPr>
              <w:t>A) (48139301)</w:t>
            </w:r>
          </w:p>
        </w:tc>
        <w:tc>
          <w:tcPr>
            <w:tcW w:w="2138" w:type="dxa"/>
            <w:shd w:val="clear" w:color="auto" w:fill="FFFFFF"/>
            <w:tcMar>
              <w:top w:w="72" w:type="dxa"/>
              <w:left w:w="144" w:type="dxa"/>
              <w:bottom w:w="72" w:type="dxa"/>
              <w:right w:w="144" w:type="dxa"/>
            </w:tcMar>
            <w:vAlign w:val="center"/>
          </w:tcPr>
          <w:p w14:paraId="5221B53A" w14:textId="599470D8" w:rsidR="00995208" w:rsidRPr="00264463" w:rsidRDefault="007C1571">
            <w:pPr>
              <w:contextualSpacing w:val="0"/>
              <w:jc w:val="center"/>
              <w:rPr>
                <w:rFonts w:asciiTheme="minorHAnsi" w:hAnsiTheme="minorHAnsi"/>
                <w:sz w:val="20"/>
                <w:szCs w:val="20"/>
              </w:rPr>
            </w:pPr>
            <w:r>
              <w:rPr>
                <w:rFonts w:asciiTheme="minorHAnsi" w:hAnsiTheme="minorHAnsi"/>
                <w:sz w:val="20"/>
                <w:szCs w:val="20"/>
              </w:rPr>
              <w:t>0.01/0.5 (N</w:t>
            </w:r>
            <w:r w:rsidR="00B16E93" w:rsidRPr="00264463">
              <w:rPr>
                <w:rFonts w:asciiTheme="minorHAnsi" w:hAnsiTheme="minorHAnsi"/>
                <w:sz w:val="20"/>
                <w:szCs w:val="20"/>
              </w:rPr>
              <w:t>A) (48139301)</w:t>
            </w:r>
          </w:p>
        </w:tc>
        <w:tc>
          <w:tcPr>
            <w:tcW w:w="3082" w:type="dxa"/>
            <w:shd w:val="clear" w:color="auto" w:fill="FFFFFF"/>
            <w:tcMar>
              <w:top w:w="72" w:type="dxa"/>
              <w:left w:w="144" w:type="dxa"/>
              <w:bottom w:w="72" w:type="dxa"/>
              <w:right w:w="144" w:type="dxa"/>
            </w:tcMar>
            <w:vAlign w:val="center"/>
          </w:tcPr>
          <w:p w14:paraId="72325785" w14:textId="77777777" w:rsidR="00995208" w:rsidRPr="00264463" w:rsidRDefault="00B16E93">
            <w:pPr>
              <w:contextualSpacing w:val="0"/>
              <w:rPr>
                <w:rFonts w:asciiTheme="minorHAnsi" w:hAnsiTheme="minorHAnsi"/>
                <w:sz w:val="20"/>
                <w:szCs w:val="20"/>
              </w:rPr>
            </w:pPr>
            <w:r w:rsidRPr="00264463">
              <w:rPr>
                <w:rFonts w:asciiTheme="minorHAnsi" w:hAnsiTheme="minorHAnsi"/>
                <w:sz w:val="20"/>
                <w:szCs w:val="20"/>
              </w:rPr>
              <w:t>Similar toxicity (based on the LOAEC values)</w:t>
            </w:r>
          </w:p>
        </w:tc>
      </w:tr>
      <w:tr w:rsidR="00995208" w:rsidRPr="00264463" w14:paraId="3DE14482" w14:textId="77777777" w:rsidTr="00F363DD">
        <w:trPr>
          <w:trHeight w:val="20"/>
          <w:jc w:val="center"/>
        </w:trPr>
        <w:tc>
          <w:tcPr>
            <w:tcW w:w="1513" w:type="dxa"/>
            <w:shd w:val="clear" w:color="auto" w:fill="FFFFFF"/>
            <w:vAlign w:val="center"/>
          </w:tcPr>
          <w:p w14:paraId="15D648F2"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Norway rat, adult - chronic (</w:t>
            </w:r>
            <w:r w:rsidRPr="00264463">
              <w:rPr>
                <w:rFonts w:asciiTheme="minorHAnsi" w:hAnsiTheme="minorHAnsi"/>
                <w:i/>
                <w:sz w:val="20"/>
                <w:szCs w:val="20"/>
              </w:rPr>
              <w:t>Rattus norvegicus</w:t>
            </w:r>
            <w:r w:rsidRPr="00264463">
              <w:rPr>
                <w:rFonts w:asciiTheme="minorHAnsi" w:hAnsiTheme="minorHAnsi"/>
                <w:sz w:val="20"/>
                <w:szCs w:val="20"/>
              </w:rPr>
              <w:t>)</w:t>
            </w:r>
          </w:p>
        </w:tc>
        <w:tc>
          <w:tcPr>
            <w:tcW w:w="1624" w:type="dxa"/>
            <w:shd w:val="clear" w:color="auto" w:fill="FFFFFF"/>
            <w:tcMar>
              <w:top w:w="72" w:type="dxa"/>
              <w:left w:w="144" w:type="dxa"/>
              <w:bottom w:w="72" w:type="dxa"/>
              <w:right w:w="144" w:type="dxa"/>
            </w:tcMar>
            <w:vAlign w:val="center"/>
          </w:tcPr>
          <w:p w14:paraId="58B92E73"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NOAEC/LOAEC (Brain ChE) (mg/kg-bw)</w:t>
            </w:r>
          </w:p>
        </w:tc>
        <w:tc>
          <w:tcPr>
            <w:tcW w:w="1723" w:type="dxa"/>
            <w:shd w:val="clear" w:color="auto" w:fill="FFFFFF"/>
            <w:tcMar>
              <w:top w:w="72" w:type="dxa"/>
              <w:left w:w="144" w:type="dxa"/>
              <w:bottom w:w="72" w:type="dxa"/>
              <w:right w:w="144" w:type="dxa"/>
            </w:tcMar>
            <w:vAlign w:val="center"/>
          </w:tcPr>
          <w:p w14:paraId="5337D701" w14:textId="2FBE1198" w:rsidR="00995208" w:rsidRPr="00264463" w:rsidRDefault="007C1571">
            <w:pPr>
              <w:contextualSpacing w:val="0"/>
              <w:jc w:val="center"/>
              <w:rPr>
                <w:rFonts w:asciiTheme="minorHAnsi" w:hAnsiTheme="minorHAnsi"/>
                <w:sz w:val="20"/>
                <w:szCs w:val="20"/>
              </w:rPr>
            </w:pPr>
            <w:r>
              <w:rPr>
                <w:rFonts w:asciiTheme="minorHAnsi" w:hAnsiTheme="minorHAnsi"/>
                <w:sz w:val="20"/>
                <w:szCs w:val="20"/>
              </w:rPr>
              <w:t>0.5/1 (N</w:t>
            </w:r>
            <w:r w:rsidR="00B16E93" w:rsidRPr="00264463">
              <w:rPr>
                <w:rFonts w:asciiTheme="minorHAnsi" w:hAnsiTheme="minorHAnsi"/>
                <w:sz w:val="20"/>
                <w:szCs w:val="20"/>
              </w:rPr>
              <w:t>A) (48139301)</w:t>
            </w:r>
          </w:p>
        </w:tc>
        <w:tc>
          <w:tcPr>
            <w:tcW w:w="2138" w:type="dxa"/>
            <w:shd w:val="clear" w:color="auto" w:fill="FFFFFF"/>
            <w:tcMar>
              <w:top w:w="72" w:type="dxa"/>
              <w:left w:w="144" w:type="dxa"/>
              <w:bottom w:w="72" w:type="dxa"/>
              <w:right w:w="144" w:type="dxa"/>
            </w:tcMar>
            <w:vAlign w:val="center"/>
          </w:tcPr>
          <w:p w14:paraId="20402A6A"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Not inhibited (48139301)</w:t>
            </w:r>
          </w:p>
        </w:tc>
        <w:tc>
          <w:tcPr>
            <w:tcW w:w="3082" w:type="dxa"/>
            <w:shd w:val="clear" w:color="auto" w:fill="FFFFFF"/>
            <w:tcMar>
              <w:top w:w="72" w:type="dxa"/>
              <w:left w:w="144" w:type="dxa"/>
              <w:bottom w:w="72" w:type="dxa"/>
              <w:right w:w="144" w:type="dxa"/>
            </w:tcMar>
            <w:vAlign w:val="center"/>
          </w:tcPr>
          <w:p w14:paraId="58A7F14F" w14:textId="77777777" w:rsidR="00995208" w:rsidRPr="00264463" w:rsidRDefault="00B16E93">
            <w:pPr>
              <w:contextualSpacing w:val="0"/>
              <w:rPr>
                <w:rFonts w:asciiTheme="minorHAnsi" w:hAnsiTheme="minorHAnsi"/>
                <w:sz w:val="20"/>
                <w:szCs w:val="20"/>
              </w:rPr>
            </w:pPr>
            <w:r w:rsidRPr="00264463">
              <w:rPr>
                <w:rFonts w:asciiTheme="minorHAnsi" w:hAnsiTheme="minorHAnsi"/>
                <w:sz w:val="20"/>
                <w:szCs w:val="20"/>
              </w:rPr>
              <w:t xml:space="preserve">Chlorpyrifos is more toxic than chlorpyrifos-oxon </w:t>
            </w:r>
          </w:p>
        </w:tc>
      </w:tr>
      <w:tr w:rsidR="00995208" w:rsidRPr="00264463" w14:paraId="600DF916" w14:textId="77777777" w:rsidTr="00F363DD">
        <w:trPr>
          <w:trHeight w:val="20"/>
          <w:jc w:val="center"/>
        </w:trPr>
        <w:tc>
          <w:tcPr>
            <w:tcW w:w="1513" w:type="dxa"/>
            <w:shd w:val="clear" w:color="auto" w:fill="FFFFFF"/>
            <w:vAlign w:val="center"/>
          </w:tcPr>
          <w:p w14:paraId="060DFCC8"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Norway rat, pup - chronic (</w:t>
            </w:r>
            <w:r w:rsidRPr="00264463">
              <w:rPr>
                <w:rFonts w:asciiTheme="minorHAnsi" w:hAnsiTheme="minorHAnsi"/>
                <w:i/>
                <w:sz w:val="20"/>
                <w:szCs w:val="20"/>
              </w:rPr>
              <w:t>Rattus norvegicus</w:t>
            </w:r>
            <w:r w:rsidRPr="00264463">
              <w:rPr>
                <w:rFonts w:asciiTheme="minorHAnsi" w:hAnsiTheme="minorHAnsi"/>
                <w:sz w:val="20"/>
                <w:szCs w:val="20"/>
              </w:rPr>
              <w:t>)</w:t>
            </w:r>
          </w:p>
        </w:tc>
        <w:tc>
          <w:tcPr>
            <w:tcW w:w="1624" w:type="dxa"/>
            <w:shd w:val="clear" w:color="auto" w:fill="FFFFFF"/>
            <w:tcMar>
              <w:top w:w="72" w:type="dxa"/>
              <w:left w:w="144" w:type="dxa"/>
              <w:bottom w:w="72" w:type="dxa"/>
              <w:right w:w="144" w:type="dxa"/>
            </w:tcMar>
            <w:vAlign w:val="center"/>
          </w:tcPr>
          <w:p w14:paraId="61A7380E"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NOAEC/LOAEC (Plasma ChE) (mg/kg-bw)</w:t>
            </w:r>
          </w:p>
        </w:tc>
        <w:tc>
          <w:tcPr>
            <w:tcW w:w="1723" w:type="dxa"/>
            <w:shd w:val="clear" w:color="auto" w:fill="FFFFFF"/>
            <w:tcMar>
              <w:top w:w="72" w:type="dxa"/>
              <w:left w:w="144" w:type="dxa"/>
              <w:bottom w:w="72" w:type="dxa"/>
              <w:right w:w="144" w:type="dxa"/>
            </w:tcMar>
            <w:vAlign w:val="center"/>
          </w:tcPr>
          <w:p w14:paraId="671E6227" w14:textId="27CD29FE" w:rsidR="00995208" w:rsidRPr="00264463" w:rsidRDefault="007C1571">
            <w:pPr>
              <w:contextualSpacing w:val="0"/>
              <w:jc w:val="center"/>
              <w:rPr>
                <w:rFonts w:asciiTheme="minorHAnsi" w:hAnsiTheme="minorHAnsi"/>
                <w:sz w:val="20"/>
                <w:szCs w:val="20"/>
              </w:rPr>
            </w:pPr>
            <w:r>
              <w:rPr>
                <w:rFonts w:asciiTheme="minorHAnsi" w:hAnsiTheme="minorHAnsi"/>
                <w:sz w:val="20"/>
                <w:szCs w:val="20"/>
              </w:rPr>
              <w:t>0.1/0.5 (NA) (</w:t>
            </w:r>
            <w:r w:rsidR="00B16E93" w:rsidRPr="00264463">
              <w:rPr>
                <w:rFonts w:asciiTheme="minorHAnsi" w:hAnsiTheme="minorHAnsi"/>
                <w:sz w:val="20"/>
                <w:szCs w:val="20"/>
              </w:rPr>
              <w:t>48139301)</w:t>
            </w:r>
          </w:p>
        </w:tc>
        <w:tc>
          <w:tcPr>
            <w:tcW w:w="2138" w:type="dxa"/>
            <w:shd w:val="clear" w:color="auto" w:fill="FFFFFF"/>
            <w:tcMar>
              <w:top w:w="72" w:type="dxa"/>
              <w:left w:w="144" w:type="dxa"/>
              <w:bottom w:w="72" w:type="dxa"/>
              <w:right w:w="144" w:type="dxa"/>
            </w:tcMar>
            <w:vAlign w:val="center"/>
          </w:tcPr>
          <w:p w14:paraId="13A84FAE" w14:textId="24F36096" w:rsidR="00995208" w:rsidRPr="00264463" w:rsidRDefault="007C1571">
            <w:pPr>
              <w:contextualSpacing w:val="0"/>
              <w:jc w:val="center"/>
              <w:rPr>
                <w:rFonts w:asciiTheme="minorHAnsi" w:hAnsiTheme="minorHAnsi"/>
                <w:sz w:val="20"/>
                <w:szCs w:val="20"/>
              </w:rPr>
            </w:pPr>
            <w:r>
              <w:rPr>
                <w:rFonts w:asciiTheme="minorHAnsi" w:hAnsiTheme="minorHAnsi"/>
                <w:sz w:val="20"/>
                <w:szCs w:val="20"/>
              </w:rPr>
              <w:t>0.01/0.5 (N</w:t>
            </w:r>
            <w:r w:rsidR="00B16E93" w:rsidRPr="00264463">
              <w:rPr>
                <w:rFonts w:asciiTheme="minorHAnsi" w:hAnsiTheme="minorHAnsi"/>
                <w:sz w:val="20"/>
                <w:szCs w:val="20"/>
              </w:rPr>
              <w:t>A) (48139301)</w:t>
            </w:r>
          </w:p>
        </w:tc>
        <w:tc>
          <w:tcPr>
            <w:tcW w:w="3082" w:type="dxa"/>
            <w:shd w:val="clear" w:color="auto" w:fill="FFFFFF"/>
            <w:tcMar>
              <w:top w:w="72" w:type="dxa"/>
              <w:left w:w="144" w:type="dxa"/>
              <w:bottom w:w="72" w:type="dxa"/>
              <w:right w:w="144" w:type="dxa"/>
            </w:tcMar>
            <w:vAlign w:val="center"/>
          </w:tcPr>
          <w:p w14:paraId="3B059410" w14:textId="77777777" w:rsidR="00995208" w:rsidRPr="00264463" w:rsidRDefault="00B16E93">
            <w:pPr>
              <w:contextualSpacing w:val="0"/>
              <w:rPr>
                <w:rFonts w:asciiTheme="minorHAnsi" w:hAnsiTheme="minorHAnsi"/>
                <w:sz w:val="20"/>
                <w:szCs w:val="20"/>
              </w:rPr>
            </w:pPr>
            <w:r w:rsidRPr="00264463">
              <w:rPr>
                <w:rFonts w:asciiTheme="minorHAnsi" w:hAnsiTheme="minorHAnsi"/>
                <w:sz w:val="20"/>
                <w:szCs w:val="20"/>
              </w:rPr>
              <w:t>Similar toxicity (based on the LOAEC values)</w:t>
            </w:r>
          </w:p>
        </w:tc>
      </w:tr>
      <w:tr w:rsidR="00995208" w:rsidRPr="00264463" w14:paraId="1F7E3DDA" w14:textId="77777777" w:rsidTr="00F363DD">
        <w:trPr>
          <w:trHeight w:val="20"/>
          <w:jc w:val="center"/>
        </w:trPr>
        <w:tc>
          <w:tcPr>
            <w:tcW w:w="1513" w:type="dxa"/>
            <w:shd w:val="clear" w:color="auto" w:fill="FFFFFF"/>
            <w:vAlign w:val="center"/>
          </w:tcPr>
          <w:p w14:paraId="1319A194"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Norway rat, pup - chronic (</w:t>
            </w:r>
            <w:r w:rsidRPr="00264463">
              <w:rPr>
                <w:rFonts w:asciiTheme="minorHAnsi" w:hAnsiTheme="minorHAnsi"/>
                <w:i/>
                <w:sz w:val="20"/>
                <w:szCs w:val="20"/>
              </w:rPr>
              <w:t>Rattus norvegicus</w:t>
            </w:r>
            <w:r w:rsidRPr="00264463">
              <w:rPr>
                <w:rFonts w:asciiTheme="minorHAnsi" w:hAnsiTheme="minorHAnsi"/>
                <w:sz w:val="20"/>
                <w:szCs w:val="20"/>
              </w:rPr>
              <w:t>)</w:t>
            </w:r>
          </w:p>
        </w:tc>
        <w:tc>
          <w:tcPr>
            <w:tcW w:w="1624" w:type="dxa"/>
            <w:shd w:val="clear" w:color="auto" w:fill="FFFFFF"/>
            <w:tcMar>
              <w:top w:w="72" w:type="dxa"/>
              <w:left w:w="144" w:type="dxa"/>
              <w:bottom w:w="72" w:type="dxa"/>
              <w:right w:w="144" w:type="dxa"/>
            </w:tcMar>
            <w:vAlign w:val="center"/>
          </w:tcPr>
          <w:p w14:paraId="59586369"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NOAEC/LOAEC (RBC ChE) (mg/kg-bw)</w:t>
            </w:r>
          </w:p>
        </w:tc>
        <w:tc>
          <w:tcPr>
            <w:tcW w:w="1723" w:type="dxa"/>
            <w:shd w:val="clear" w:color="auto" w:fill="FFFFFF"/>
            <w:tcMar>
              <w:top w:w="72" w:type="dxa"/>
              <w:left w:w="144" w:type="dxa"/>
              <w:bottom w:w="72" w:type="dxa"/>
              <w:right w:w="144" w:type="dxa"/>
            </w:tcMar>
            <w:vAlign w:val="center"/>
          </w:tcPr>
          <w:p w14:paraId="2EEA9946" w14:textId="580B4FB3" w:rsidR="00995208" w:rsidRPr="00264463" w:rsidRDefault="007C1571">
            <w:pPr>
              <w:contextualSpacing w:val="0"/>
              <w:jc w:val="center"/>
              <w:rPr>
                <w:rFonts w:asciiTheme="minorHAnsi" w:hAnsiTheme="minorHAnsi"/>
                <w:sz w:val="20"/>
                <w:szCs w:val="20"/>
              </w:rPr>
            </w:pPr>
            <w:r>
              <w:rPr>
                <w:rFonts w:asciiTheme="minorHAnsi" w:hAnsiTheme="minorHAnsi"/>
                <w:sz w:val="20"/>
                <w:szCs w:val="20"/>
              </w:rPr>
              <w:t>0.1/0.5 (N</w:t>
            </w:r>
            <w:r w:rsidR="00B16E93" w:rsidRPr="00264463">
              <w:rPr>
                <w:rFonts w:asciiTheme="minorHAnsi" w:hAnsiTheme="minorHAnsi"/>
                <w:sz w:val="20"/>
                <w:szCs w:val="20"/>
              </w:rPr>
              <w:t>A) (48139301)</w:t>
            </w:r>
          </w:p>
        </w:tc>
        <w:tc>
          <w:tcPr>
            <w:tcW w:w="2138" w:type="dxa"/>
            <w:shd w:val="clear" w:color="auto" w:fill="FFFFFF"/>
            <w:tcMar>
              <w:top w:w="72" w:type="dxa"/>
              <w:left w:w="144" w:type="dxa"/>
              <w:bottom w:w="72" w:type="dxa"/>
              <w:right w:w="144" w:type="dxa"/>
            </w:tcMar>
            <w:vAlign w:val="center"/>
          </w:tcPr>
          <w:p w14:paraId="7906DC02" w14:textId="4956222C" w:rsidR="00995208" w:rsidRPr="00264463" w:rsidRDefault="007C1571">
            <w:pPr>
              <w:contextualSpacing w:val="0"/>
              <w:jc w:val="center"/>
              <w:rPr>
                <w:rFonts w:asciiTheme="minorHAnsi" w:hAnsiTheme="minorHAnsi"/>
                <w:sz w:val="20"/>
                <w:szCs w:val="20"/>
              </w:rPr>
            </w:pPr>
            <w:r>
              <w:rPr>
                <w:rFonts w:asciiTheme="minorHAnsi" w:hAnsiTheme="minorHAnsi"/>
                <w:sz w:val="20"/>
                <w:szCs w:val="20"/>
              </w:rPr>
              <w:t>0.01/0.5 (N</w:t>
            </w:r>
            <w:r w:rsidR="00B16E93" w:rsidRPr="00264463">
              <w:rPr>
                <w:rFonts w:asciiTheme="minorHAnsi" w:hAnsiTheme="minorHAnsi"/>
                <w:sz w:val="20"/>
                <w:szCs w:val="20"/>
              </w:rPr>
              <w:t>A) (48139301)</w:t>
            </w:r>
          </w:p>
        </w:tc>
        <w:tc>
          <w:tcPr>
            <w:tcW w:w="3082" w:type="dxa"/>
            <w:shd w:val="clear" w:color="auto" w:fill="FFFFFF"/>
            <w:tcMar>
              <w:top w:w="72" w:type="dxa"/>
              <w:left w:w="144" w:type="dxa"/>
              <w:bottom w:w="72" w:type="dxa"/>
              <w:right w:w="144" w:type="dxa"/>
            </w:tcMar>
            <w:vAlign w:val="center"/>
          </w:tcPr>
          <w:p w14:paraId="173320CE" w14:textId="77777777" w:rsidR="00995208" w:rsidRPr="00264463" w:rsidRDefault="00B16E93">
            <w:pPr>
              <w:contextualSpacing w:val="0"/>
              <w:rPr>
                <w:rFonts w:asciiTheme="minorHAnsi" w:hAnsiTheme="minorHAnsi"/>
                <w:sz w:val="20"/>
                <w:szCs w:val="20"/>
              </w:rPr>
            </w:pPr>
            <w:r w:rsidRPr="00264463">
              <w:rPr>
                <w:rFonts w:asciiTheme="minorHAnsi" w:hAnsiTheme="minorHAnsi"/>
                <w:sz w:val="20"/>
                <w:szCs w:val="20"/>
              </w:rPr>
              <w:t>Similar toxicity (based on the LOAEC values)</w:t>
            </w:r>
          </w:p>
        </w:tc>
      </w:tr>
      <w:tr w:rsidR="00995208" w:rsidRPr="00264463" w14:paraId="361289D8" w14:textId="77777777" w:rsidTr="00F363DD">
        <w:trPr>
          <w:trHeight w:val="20"/>
          <w:jc w:val="center"/>
        </w:trPr>
        <w:tc>
          <w:tcPr>
            <w:tcW w:w="1513" w:type="dxa"/>
            <w:shd w:val="clear" w:color="auto" w:fill="FFFFFF"/>
            <w:vAlign w:val="center"/>
          </w:tcPr>
          <w:p w14:paraId="4917A4D1"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Norway rat, pup - chronic (</w:t>
            </w:r>
            <w:r w:rsidRPr="00264463">
              <w:rPr>
                <w:rFonts w:asciiTheme="minorHAnsi" w:hAnsiTheme="minorHAnsi"/>
                <w:i/>
                <w:sz w:val="20"/>
                <w:szCs w:val="20"/>
              </w:rPr>
              <w:t>Rattus norvegicus</w:t>
            </w:r>
            <w:r w:rsidRPr="00264463">
              <w:rPr>
                <w:rFonts w:asciiTheme="minorHAnsi" w:hAnsiTheme="minorHAnsi"/>
                <w:sz w:val="20"/>
                <w:szCs w:val="20"/>
              </w:rPr>
              <w:t>)</w:t>
            </w:r>
          </w:p>
        </w:tc>
        <w:tc>
          <w:tcPr>
            <w:tcW w:w="1624" w:type="dxa"/>
            <w:shd w:val="clear" w:color="auto" w:fill="FFFFFF"/>
            <w:tcMar>
              <w:top w:w="72" w:type="dxa"/>
              <w:left w:w="144" w:type="dxa"/>
              <w:bottom w:w="72" w:type="dxa"/>
              <w:right w:w="144" w:type="dxa"/>
            </w:tcMar>
            <w:vAlign w:val="center"/>
          </w:tcPr>
          <w:p w14:paraId="2B1AD0DA"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NOAEC/LOAEC (Brain ChE) (mg/kg-bw)</w:t>
            </w:r>
          </w:p>
        </w:tc>
        <w:tc>
          <w:tcPr>
            <w:tcW w:w="1723" w:type="dxa"/>
            <w:shd w:val="clear" w:color="auto" w:fill="FFFFFF"/>
            <w:tcMar>
              <w:top w:w="72" w:type="dxa"/>
              <w:left w:w="144" w:type="dxa"/>
              <w:bottom w:w="72" w:type="dxa"/>
              <w:right w:w="144" w:type="dxa"/>
            </w:tcMar>
            <w:vAlign w:val="center"/>
          </w:tcPr>
          <w:p w14:paraId="3ECAF664" w14:textId="5C5B9F3B" w:rsidR="00995208" w:rsidRPr="00264463" w:rsidRDefault="007C1571">
            <w:pPr>
              <w:contextualSpacing w:val="0"/>
              <w:jc w:val="center"/>
              <w:rPr>
                <w:rFonts w:asciiTheme="minorHAnsi" w:hAnsiTheme="minorHAnsi"/>
                <w:sz w:val="20"/>
                <w:szCs w:val="20"/>
              </w:rPr>
            </w:pPr>
            <w:r>
              <w:rPr>
                <w:rFonts w:asciiTheme="minorHAnsi" w:hAnsiTheme="minorHAnsi"/>
                <w:sz w:val="20"/>
                <w:szCs w:val="20"/>
              </w:rPr>
              <w:t>0.5/1 (N</w:t>
            </w:r>
            <w:r w:rsidR="00B16E93" w:rsidRPr="00264463">
              <w:rPr>
                <w:rFonts w:asciiTheme="minorHAnsi" w:hAnsiTheme="minorHAnsi"/>
                <w:sz w:val="20"/>
                <w:szCs w:val="20"/>
              </w:rPr>
              <w:t>A) (48139301)</w:t>
            </w:r>
          </w:p>
        </w:tc>
        <w:tc>
          <w:tcPr>
            <w:tcW w:w="2138" w:type="dxa"/>
            <w:shd w:val="clear" w:color="auto" w:fill="FFFFFF"/>
            <w:tcMar>
              <w:top w:w="72" w:type="dxa"/>
              <w:left w:w="144" w:type="dxa"/>
              <w:bottom w:w="72" w:type="dxa"/>
              <w:right w:w="144" w:type="dxa"/>
            </w:tcMar>
            <w:vAlign w:val="center"/>
          </w:tcPr>
          <w:p w14:paraId="0B5B20D7"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Not inhibited (48139301)</w:t>
            </w:r>
          </w:p>
        </w:tc>
        <w:tc>
          <w:tcPr>
            <w:tcW w:w="3082" w:type="dxa"/>
            <w:shd w:val="clear" w:color="auto" w:fill="FFFFFF"/>
            <w:tcMar>
              <w:top w:w="72" w:type="dxa"/>
              <w:left w:w="144" w:type="dxa"/>
              <w:bottom w:w="72" w:type="dxa"/>
              <w:right w:w="144" w:type="dxa"/>
            </w:tcMar>
            <w:vAlign w:val="center"/>
          </w:tcPr>
          <w:p w14:paraId="420788A9" w14:textId="77777777" w:rsidR="00995208" w:rsidRPr="00264463" w:rsidRDefault="00B16E93">
            <w:pPr>
              <w:contextualSpacing w:val="0"/>
              <w:rPr>
                <w:rFonts w:asciiTheme="minorHAnsi" w:hAnsiTheme="minorHAnsi"/>
                <w:sz w:val="20"/>
                <w:szCs w:val="20"/>
              </w:rPr>
            </w:pPr>
            <w:r w:rsidRPr="00264463">
              <w:rPr>
                <w:rFonts w:asciiTheme="minorHAnsi" w:hAnsiTheme="minorHAnsi"/>
                <w:sz w:val="20"/>
                <w:szCs w:val="20"/>
              </w:rPr>
              <w:t>Chlorpyrifos is more toxic than chlorpyrifos-oxon</w:t>
            </w:r>
          </w:p>
        </w:tc>
      </w:tr>
      <w:tr w:rsidR="00995208" w:rsidRPr="00264463" w14:paraId="0C8E259B" w14:textId="77777777" w:rsidTr="00F363DD">
        <w:trPr>
          <w:trHeight w:val="20"/>
          <w:jc w:val="center"/>
        </w:trPr>
        <w:tc>
          <w:tcPr>
            <w:tcW w:w="10080" w:type="dxa"/>
            <w:gridSpan w:val="5"/>
            <w:shd w:val="clear" w:color="auto" w:fill="E7E6E6"/>
            <w:vAlign w:val="center"/>
          </w:tcPr>
          <w:p w14:paraId="003F0421"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b/>
                <w:i/>
                <w:sz w:val="20"/>
                <w:szCs w:val="20"/>
              </w:rPr>
              <w:t>AQUATIC</w:t>
            </w:r>
          </w:p>
        </w:tc>
      </w:tr>
      <w:tr w:rsidR="00995208" w:rsidRPr="00264463" w14:paraId="72E99BBC" w14:textId="77777777" w:rsidTr="00F363DD">
        <w:trPr>
          <w:trHeight w:val="20"/>
          <w:jc w:val="center"/>
        </w:trPr>
        <w:tc>
          <w:tcPr>
            <w:tcW w:w="1513" w:type="dxa"/>
            <w:shd w:val="clear" w:color="auto" w:fill="FFFFFF"/>
            <w:vAlign w:val="center"/>
          </w:tcPr>
          <w:p w14:paraId="444566F4"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Bluegill sunfish (</w:t>
            </w:r>
            <w:r w:rsidRPr="00264463">
              <w:rPr>
                <w:rFonts w:asciiTheme="minorHAnsi" w:hAnsiTheme="minorHAnsi"/>
                <w:i/>
                <w:sz w:val="20"/>
                <w:szCs w:val="20"/>
              </w:rPr>
              <w:t>Lepomis macrochirus</w:t>
            </w:r>
            <w:r w:rsidRPr="00264463">
              <w:rPr>
                <w:rFonts w:asciiTheme="minorHAnsi" w:hAnsiTheme="minorHAnsi"/>
                <w:sz w:val="20"/>
                <w:szCs w:val="20"/>
              </w:rPr>
              <w:t>)</w:t>
            </w:r>
          </w:p>
        </w:tc>
        <w:tc>
          <w:tcPr>
            <w:tcW w:w="1624" w:type="dxa"/>
            <w:shd w:val="clear" w:color="auto" w:fill="FFFFFF"/>
            <w:tcMar>
              <w:top w:w="72" w:type="dxa"/>
              <w:left w:w="144" w:type="dxa"/>
              <w:bottom w:w="72" w:type="dxa"/>
              <w:right w:w="144" w:type="dxa"/>
            </w:tcMar>
            <w:vAlign w:val="center"/>
          </w:tcPr>
          <w:p w14:paraId="358B76F9"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LC</w:t>
            </w:r>
            <w:r w:rsidRPr="00264463">
              <w:rPr>
                <w:rFonts w:asciiTheme="minorHAnsi" w:hAnsiTheme="minorHAnsi"/>
                <w:sz w:val="20"/>
                <w:szCs w:val="20"/>
                <w:vertAlign w:val="subscript"/>
              </w:rPr>
              <w:t>50</w:t>
            </w:r>
            <w:r w:rsidRPr="00264463">
              <w:rPr>
                <w:rFonts w:asciiTheme="minorHAnsi" w:hAnsiTheme="minorHAnsi"/>
                <w:sz w:val="20"/>
                <w:szCs w:val="20"/>
              </w:rPr>
              <w:t xml:space="preserve"> (µg a.i./L)</w:t>
            </w:r>
          </w:p>
        </w:tc>
        <w:tc>
          <w:tcPr>
            <w:tcW w:w="1723" w:type="dxa"/>
            <w:shd w:val="clear" w:color="auto" w:fill="FFFFFF"/>
            <w:tcMar>
              <w:top w:w="72" w:type="dxa"/>
              <w:left w:w="144" w:type="dxa"/>
              <w:bottom w:w="72" w:type="dxa"/>
              <w:right w:w="144" w:type="dxa"/>
            </w:tcMar>
            <w:vAlign w:val="center"/>
          </w:tcPr>
          <w:p w14:paraId="425FFEEE" w14:textId="74B985C7" w:rsidR="00995208" w:rsidRPr="00264463" w:rsidRDefault="007C1571">
            <w:pPr>
              <w:contextualSpacing w:val="0"/>
              <w:jc w:val="center"/>
              <w:rPr>
                <w:rFonts w:asciiTheme="minorHAnsi" w:hAnsiTheme="minorHAnsi"/>
                <w:sz w:val="20"/>
                <w:szCs w:val="20"/>
              </w:rPr>
            </w:pPr>
            <w:r>
              <w:rPr>
                <w:rFonts w:asciiTheme="minorHAnsi" w:hAnsiTheme="minorHAnsi"/>
                <w:sz w:val="20"/>
                <w:szCs w:val="20"/>
              </w:rPr>
              <w:t>1.7 (N</w:t>
            </w:r>
            <w:r w:rsidR="00B16E93" w:rsidRPr="00264463">
              <w:rPr>
                <w:rFonts w:asciiTheme="minorHAnsi" w:hAnsiTheme="minorHAnsi"/>
                <w:sz w:val="20"/>
                <w:szCs w:val="20"/>
              </w:rPr>
              <w:t>A) (E006797)</w:t>
            </w:r>
          </w:p>
        </w:tc>
        <w:tc>
          <w:tcPr>
            <w:tcW w:w="2138" w:type="dxa"/>
            <w:shd w:val="clear" w:color="auto" w:fill="FFFFFF"/>
            <w:tcMar>
              <w:top w:w="72" w:type="dxa"/>
              <w:left w:w="144" w:type="dxa"/>
              <w:bottom w:w="72" w:type="dxa"/>
              <w:right w:w="144" w:type="dxa"/>
            </w:tcMar>
            <w:vAlign w:val="center"/>
          </w:tcPr>
          <w:p w14:paraId="77C3CD72"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1.06 (0.57 – 1.4) (MRID 48483701)</w:t>
            </w:r>
          </w:p>
        </w:tc>
        <w:tc>
          <w:tcPr>
            <w:tcW w:w="3082" w:type="dxa"/>
            <w:shd w:val="clear" w:color="auto" w:fill="FFFFFF"/>
            <w:tcMar>
              <w:top w:w="72" w:type="dxa"/>
              <w:left w:w="144" w:type="dxa"/>
              <w:bottom w:w="72" w:type="dxa"/>
              <w:right w:w="144" w:type="dxa"/>
            </w:tcMar>
            <w:vAlign w:val="center"/>
          </w:tcPr>
          <w:p w14:paraId="2DAD7837" w14:textId="77777777" w:rsidR="00995208" w:rsidRPr="00264463" w:rsidRDefault="00B16E93">
            <w:pPr>
              <w:contextualSpacing w:val="0"/>
              <w:rPr>
                <w:rFonts w:asciiTheme="minorHAnsi" w:hAnsiTheme="minorHAnsi"/>
                <w:sz w:val="20"/>
                <w:szCs w:val="20"/>
              </w:rPr>
            </w:pPr>
            <w:r w:rsidRPr="00264463">
              <w:rPr>
                <w:rFonts w:asciiTheme="minorHAnsi" w:hAnsiTheme="minorHAnsi"/>
                <w:sz w:val="20"/>
                <w:szCs w:val="20"/>
              </w:rPr>
              <w:t>Similar toxicity</w:t>
            </w:r>
          </w:p>
        </w:tc>
      </w:tr>
      <w:tr w:rsidR="00995208" w:rsidRPr="00264463" w14:paraId="03B20CD4" w14:textId="77777777" w:rsidTr="00F363DD">
        <w:trPr>
          <w:trHeight w:val="20"/>
          <w:jc w:val="center"/>
        </w:trPr>
        <w:tc>
          <w:tcPr>
            <w:tcW w:w="1513" w:type="dxa"/>
            <w:shd w:val="clear" w:color="auto" w:fill="FFFFFF"/>
            <w:vAlign w:val="center"/>
          </w:tcPr>
          <w:p w14:paraId="07087FA0"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Sheepshead minnow (</w:t>
            </w:r>
            <w:r w:rsidRPr="00264463">
              <w:rPr>
                <w:rFonts w:asciiTheme="minorHAnsi" w:hAnsiTheme="minorHAnsi"/>
                <w:i/>
                <w:sz w:val="20"/>
                <w:szCs w:val="20"/>
              </w:rPr>
              <w:t>Cyprinodon variegatus</w:t>
            </w:r>
            <w:r w:rsidRPr="00264463">
              <w:rPr>
                <w:rFonts w:asciiTheme="minorHAnsi" w:hAnsiTheme="minorHAnsi"/>
                <w:sz w:val="20"/>
                <w:szCs w:val="20"/>
              </w:rPr>
              <w:t>)</w:t>
            </w:r>
          </w:p>
        </w:tc>
        <w:tc>
          <w:tcPr>
            <w:tcW w:w="1624" w:type="dxa"/>
            <w:shd w:val="clear" w:color="auto" w:fill="FFFFFF"/>
            <w:tcMar>
              <w:top w:w="72" w:type="dxa"/>
              <w:left w:w="144" w:type="dxa"/>
              <w:bottom w:w="72" w:type="dxa"/>
              <w:right w:w="144" w:type="dxa"/>
            </w:tcMar>
            <w:vAlign w:val="center"/>
          </w:tcPr>
          <w:p w14:paraId="6C14C835"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LC</w:t>
            </w:r>
            <w:r w:rsidRPr="00264463">
              <w:rPr>
                <w:rFonts w:asciiTheme="minorHAnsi" w:hAnsiTheme="minorHAnsi"/>
                <w:sz w:val="20"/>
                <w:szCs w:val="20"/>
                <w:vertAlign w:val="subscript"/>
              </w:rPr>
              <w:t>50</w:t>
            </w:r>
            <w:r w:rsidRPr="00264463">
              <w:rPr>
                <w:rFonts w:asciiTheme="minorHAnsi" w:hAnsiTheme="minorHAnsi"/>
                <w:sz w:val="20"/>
                <w:szCs w:val="20"/>
              </w:rPr>
              <w:t xml:space="preserve"> (µg a.i./L)</w:t>
            </w:r>
          </w:p>
        </w:tc>
        <w:tc>
          <w:tcPr>
            <w:tcW w:w="1723" w:type="dxa"/>
            <w:shd w:val="clear" w:color="auto" w:fill="FFFFFF"/>
            <w:tcMar>
              <w:top w:w="72" w:type="dxa"/>
              <w:left w:w="144" w:type="dxa"/>
              <w:bottom w:w="72" w:type="dxa"/>
              <w:right w:w="144" w:type="dxa"/>
            </w:tcMar>
            <w:vAlign w:val="center"/>
          </w:tcPr>
          <w:p w14:paraId="74518419"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136 (113 - 153) (15639)</w:t>
            </w:r>
          </w:p>
        </w:tc>
        <w:tc>
          <w:tcPr>
            <w:tcW w:w="2138" w:type="dxa"/>
            <w:shd w:val="clear" w:color="auto" w:fill="FFFFFF"/>
            <w:tcMar>
              <w:top w:w="72" w:type="dxa"/>
              <w:left w:w="144" w:type="dxa"/>
              <w:bottom w:w="72" w:type="dxa"/>
              <w:right w:w="144" w:type="dxa"/>
            </w:tcMar>
            <w:vAlign w:val="center"/>
          </w:tcPr>
          <w:p w14:paraId="7645B42E"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16 (13 - 21) (MRID 48756401)</w:t>
            </w:r>
          </w:p>
        </w:tc>
        <w:tc>
          <w:tcPr>
            <w:tcW w:w="3082" w:type="dxa"/>
            <w:shd w:val="clear" w:color="auto" w:fill="FFFFFF"/>
            <w:tcMar>
              <w:top w:w="72" w:type="dxa"/>
              <w:left w:w="144" w:type="dxa"/>
              <w:bottom w:w="72" w:type="dxa"/>
              <w:right w:w="144" w:type="dxa"/>
            </w:tcMar>
            <w:vAlign w:val="center"/>
          </w:tcPr>
          <w:p w14:paraId="6B1E47B6" w14:textId="77777777" w:rsidR="00995208" w:rsidRPr="00264463" w:rsidRDefault="00B16E93">
            <w:pPr>
              <w:contextualSpacing w:val="0"/>
              <w:rPr>
                <w:rFonts w:asciiTheme="minorHAnsi" w:hAnsiTheme="minorHAnsi"/>
                <w:sz w:val="20"/>
                <w:szCs w:val="20"/>
              </w:rPr>
            </w:pPr>
            <w:r w:rsidRPr="00264463">
              <w:rPr>
                <w:rFonts w:asciiTheme="minorHAnsi" w:hAnsiTheme="minorHAnsi"/>
                <w:sz w:val="20"/>
                <w:szCs w:val="20"/>
              </w:rPr>
              <w:t>Chlorpyrifos-oxon is 8.5 times more toxic than chlorpyrifos</w:t>
            </w:r>
          </w:p>
        </w:tc>
      </w:tr>
      <w:tr w:rsidR="00995208" w:rsidRPr="00264463" w14:paraId="7D6C92E4" w14:textId="77777777" w:rsidTr="00F363DD">
        <w:trPr>
          <w:trHeight w:val="20"/>
          <w:jc w:val="center"/>
        </w:trPr>
        <w:tc>
          <w:tcPr>
            <w:tcW w:w="1513" w:type="dxa"/>
            <w:shd w:val="clear" w:color="auto" w:fill="FFFFFF"/>
            <w:vAlign w:val="center"/>
          </w:tcPr>
          <w:p w14:paraId="60A2D04B"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lastRenderedPageBreak/>
              <w:t>Channel catfish (</w:t>
            </w:r>
            <w:r w:rsidRPr="00264463">
              <w:rPr>
                <w:rFonts w:asciiTheme="minorHAnsi" w:hAnsiTheme="minorHAnsi"/>
                <w:i/>
                <w:sz w:val="20"/>
                <w:szCs w:val="20"/>
              </w:rPr>
              <w:t>Ictalurus punctatus</w:t>
            </w:r>
            <w:r w:rsidRPr="00264463">
              <w:rPr>
                <w:rFonts w:asciiTheme="minorHAnsi" w:hAnsiTheme="minorHAnsi"/>
                <w:sz w:val="20"/>
                <w:szCs w:val="20"/>
              </w:rPr>
              <w:t>)</w:t>
            </w:r>
          </w:p>
        </w:tc>
        <w:tc>
          <w:tcPr>
            <w:tcW w:w="1624" w:type="dxa"/>
            <w:shd w:val="clear" w:color="auto" w:fill="FFFFFF"/>
            <w:tcMar>
              <w:top w:w="72" w:type="dxa"/>
              <w:left w:w="144" w:type="dxa"/>
              <w:bottom w:w="72" w:type="dxa"/>
              <w:right w:w="144" w:type="dxa"/>
            </w:tcMar>
            <w:vAlign w:val="center"/>
          </w:tcPr>
          <w:p w14:paraId="611DBEB0"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LOAEC (AChE) (µg a.i./L)</w:t>
            </w:r>
          </w:p>
        </w:tc>
        <w:tc>
          <w:tcPr>
            <w:tcW w:w="1723" w:type="dxa"/>
            <w:shd w:val="clear" w:color="auto" w:fill="FFFFFF"/>
            <w:tcMar>
              <w:top w:w="72" w:type="dxa"/>
              <w:left w:w="144" w:type="dxa"/>
              <w:bottom w:w="72" w:type="dxa"/>
              <w:right w:w="144" w:type="dxa"/>
            </w:tcMar>
            <w:vAlign w:val="center"/>
          </w:tcPr>
          <w:p w14:paraId="4D293FED" w14:textId="2C4475DB" w:rsidR="00995208" w:rsidRPr="00264463" w:rsidRDefault="007C1571">
            <w:pPr>
              <w:contextualSpacing w:val="0"/>
              <w:jc w:val="center"/>
              <w:rPr>
                <w:rFonts w:asciiTheme="minorHAnsi" w:hAnsiTheme="minorHAnsi"/>
                <w:sz w:val="20"/>
                <w:szCs w:val="20"/>
              </w:rPr>
            </w:pPr>
            <w:r>
              <w:rPr>
                <w:rFonts w:asciiTheme="minorHAnsi" w:hAnsiTheme="minorHAnsi"/>
                <w:sz w:val="20"/>
                <w:szCs w:val="20"/>
              </w:rPr>
              <w:t>13.4 (N</w:t>
            </w:r>
            <w:r w:rsidR="00B16E93" w:rsidRPr="00264463">
              <w:rPr>
                <w:rFonts w:asciiTheme="minorHAnsi" w:hAnsiTheme="minorHAnsi"/>
                <w:sz w:val="20"/>
                <w:szCs w:val="20"/>
              </w:rPr>
              <w:t>A) (MRID 95013)</w:t>
            </w:r>
          </w:p>
        </w:tc>
        <w:tc>
          <w:tcPr>
            <w:tcW w:w="2138" w:type="dxa"/>
            <w:shd w:val="clear" w:color="auto" w:fill="FFFFFF"/>
            <w:tcMar>
              <w:top w:w="72" w:type="dxa"/>
              <w:left w:w="144" w:type="dxa"/>
              <w:bottom w:w="72" w:type="dxa"/>
              <w:right w:w="144" w:type="dxa"/>
            </w:tcMar>
            <w:vAlign w:val="center"/>
          </w:tcPr>
          <w:p w14:paraId="428646B5" w14:textId="547BED2C" w:rsidR="00995208" w:rsidRPr="00264463" w:rsidRDefault="007C1571">
            <w:pPr>
              <w:contextualSpacing w:val="0"/>
              <w:jc w:val="center"/>
              <w:rPr>
                <w:rFonts w:asciiTheme="minorHAnsi" w:hAnsiTheme="minorHAnsi"/>
                <w:sz w:val="20"/>
                <w:szCs w:val="20"/>
              </w:rPr>
            </w:pPr>
            <w:r>
              <w:rPr>
                <w:rFonts w:asciiTheme="minorHAnsi" w:hAnsiTheme="minorHAnsi"/>
                <w:sz w:val="20"/>
                <w:szCs w:val="20"/>
              </w:rPr>
              <w:t>7 (N</w:t>
            </w:r>
            <w:r w:rsidR="00B16E93" w:rsidRPr="00264463">
              <w:rPr>
                <w:rFonts w:asciiTheme="minorHAnsi" w:hAnsiTheme="minorHAnsi"/>
                <w:sz w:val="20"/>
                <w:szCs w:val="20"/>
              </w:rPr>
              <w:t>A) (E67666)</w:t>
            </w:r>
          </w:p>
        </w:tc>
        <w:tc>
          <w:tcPr>
            <w:tcW w:w="3082" w:type="dxa"/>
            <w:shd w:val="clear" w:color="auto" w:fill="FFFFFF"/>
            <w:tcMar>
              <w:top w:w="72" w:type="dxa"/>
              <w:left w:w="144" w:type="dxa"/>
              <w:bottom w:w="72" w:type="dxa"/>
              <w:right w:w="144" w:type="dxa"/>
            </w:tcMar>
            <w:vAlign w:val="center"/>
          </w:tcPr>
          <w:p w14:paraId="34535EE7" w14:textId="77777777" w:rsidR="00995208" w:rsidRPr="00264463" w:rsidRDefault="00B16E93">
            <w:pPr>
              <w:contextualSpacing w:val="0"/>
              <w:rPr>
                <w:rFonts w:asciiTheme="minorHAnsi" w:hAnsiTheme="minorHAnsi"/>
                <w:sz w:val="20"/>
                <w:szCs w:val="20"/>
              </w:rPr>
            </w:pPr>
            <w:r w:rsidRPr="00264463">
              <w:rPr>
                <w:rFonts w:asciiTheme="minorHAnsi" w:hAnsiTheme="minorHAnsi"/>
                <w:sz w:val="20"/>
                <w:szCs w:val="20"/>
              </w:rPr>
              <w:t>Chlorpyrifos-oxon is ~2 times more toxic than chlorpyrifos</w:t>
            </w:r>
          </w:p>
        </w:tc>
      </w:tr>
      <w:tr w:rsidR="00995208" w:rsidRPr="00264463" w14:paraId="0946112B" w14:textId="77777777" w:rsidTr="00F363DD">
        <w:trPr>
          <w:trHeight w:val="20"/>
          <w:jc w:val="center"/>
        </w:trPr>
        <w:tc>
          <w:tcPr>
            <w:tcW w:w="1513" w:type="dxa"/>
            <w:shd w:val="clear" w:color="auto" w:fill="FFFFFF"/>
            <w:vAlign w:val="center"/>
          </w:tcPr>
          <w:p w14:paraId="494C1FE7"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Yellow-legged frog (</w:t>
            </w:r>
            <w:r w:rsidRPr="00264463">
              <w:rPr>
                <w:rFonts w:asciiTheme="minorHAnsi" w:hAnsiTheme="minorHAnsi"/>
                <w:i/>
                <w:sz w:val="20"/>
                <w:szCs w:val="20"/>
              </w:rPr>
              <w:t>Rana boylii</w:t>
            </w:r>
            <w:r w:rsidRPr="00264463">
              <w:rPr>
                <w:rFonts w:asciiTheme="minorHAnsi" w:hAnsiTheme="minorHAnsi"/>
                <w:sz w:val="20"/>
                <w:szCs w:val="20"/>
              </w:rPr>
              <w:t>)</w:t>
            </w:r>
          </w:p>
        </w:tc>
        <w:tc>
          <w:tcPr>
            <w:tcW w:w="1624" w:type="dxa"/>
            <w:shd w:val="clear" w:color="auto" w:fill="FFFFFF"/>
            <w:tcMar>
              <w:top w:w="72" w:type="dxa"/>
              <w:left w:w="144" w:type="dxa"/>
              <w:bottom w:w="72" w:type="dxa"/>
              <w:right w:w="144" w:type="dxa"/>
            </w:tcMar>
            <w:vAlign w:val="center"/>
          </w:tcPr>
          <w:p w14:paraId="0870AA20"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LC</w:t>
            </w:r>
            <w:r w:rsidRPr="00264463">
              <w:rPr>
                <w:rFonts w:asciiTheme="minorHAnsi" w:hAnsiTheme="minorHAnsi"/>
                <w:sz w:val="20"/>
                <w:szCs w:val="20"/>
                <w:vertAlign w:val="subscript"/>
              </w:rPr>
              <w:t>50</w:t>
            </w:r>
            <w:r w:rsidRPr="00264463">
              <w:rPr>
                <w:rFonts w:asciiTheme="minorHAnsi" w:hAnsiTheme="minorHAnsi"/>
                <w:sz w:val="20"/>
                <w:szCs w:val="20"/>
              </w:rPr>
              <w:t xml:space="preserve"> (µg a.i./L)</w:t>
            </w:r>
          </w:p>
        </w:tc>
        <w:tc>
          <w:tcPr>
            <w:tcW w:w="1723" w:type="dxa"/>
            <w:shd w:val="clear" w:color="auto" w:fill="FFFFFF"/>
            <w:tcMar>
              <w:top w:w="72" w:type="dxa"/>
              <w:left w:w="144" w:type="dxa"/>
              <w:bottom w:w="72" w:type="dxa"/>
              <w:right w:w="144" w:type="dxa"/>
            </w:tcMar>
            <w:vAlign w:val="center"/>
          </w:tcPr>
          <w:p w14:paraId="653B52DB"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204 (±544) (E118706)</w:t>
            </w:r>
          </w:p>
        </w:tc>
        <w:tc>
          <w:tcPr>
            <w:tcW w:w="2138" w:type="dxa"/>
            <w:shd w:val="clear" w:color="auto" w:fill="FFFFFF"/>
            <w:tcMar>
              <w:top w:w="72" w:type="dxa"/>
              <w:left w:w="144" w:type="dxa"/>
              <w:bottom w:w="72" w:type="dxa"/>
              <w:right w:w="144" w:type="dxa"/>
            </w:tcMar>
            <w:vAlign w:val="center"/>
          </w:tcPr>
          <w:p w14:paraId="2FE69578" w14:textId="7B81E439" w:rsidR="00995208" w:rsidRPr="00264463" w:rsidRDefault="007C1571">
            <w:pPr>
              <w:contextualSpacing w:val="0"/>
              <w:jc w:val="center"/>
              <w:rPr>
                <w:rFonts w:asciiTheme="minorHAnsi" w:hAnsiTheme="minorHAnsi"/>
                <w:sz w:val="20"/>
                <w:szCs w:val="20"/>
              </w:rPr>
            </w:pPr>
            <w:r>
              <w:rPr>
                <w:rFonts w:asciiTheme="minorHAnsi" w:hAnsiTheme="minorHAnsi"/>
                <w:sz w:val="20"/>
                <w:szCs w:val="20"/>
              </w:rPr>
              <w:t>&lt;5 (N</w:t>
            </w:r>
            <w:r w:rsidR="00B16E93" w:rsidRPr="00264463">
              <w:rPr>
                <w:rFonts w:asciiTheme="minorHAnsi" w:hAnsiTheme="minorHAnsi"/>
                <w:sz w:val="20"/>
                <w:szCs w:val="20"/>
              </w:rPr>
              <w:t>A) (E92498)</w:t>
            </w:r>
          </w:p>
        </w:tc>
        <w:tc>
          <w:tcPr>
            <w:tcW w:w="3082" w:type="dxa"/>
            <w:shd w:val="clear" w:color="auto" w:fill="FFFFFF"/>
            <w:tcMar>
              <w:top w:w="72" w:type="dxa"/>
              <w:left w:w="144" w:type="dxa"/>
              <w:bottom w:w="72" w:type="dxa"/>
              <w:right w:w="144" w:type="dxa"/>
            </w:tcMar>
            <w:vAlign w:val="center"/>
          </w:tcPr>
          <w:p w14:paraId="3C00E460" w14:textId="77777777" w:rsidR="00995208" w:rsidRPr="00264463" w:rsidRDefault="00B16E93">
            <w:pPr>
              <w:contextualSpacing w:val="0"/>
              <w:rPr>
                <w:rFonts w:asciiTheme="minorHAnsi" w:hAnsiTheme="minorHAnsi"/>
                <w:sz w:val="20"/>
                <w:szCs w:val="20"/>
              </w:rPr>
            </w:pPr>
            <w:r w:rsidRPr="00264463">
              <w:rPr>
                <w:rFonts w:asciiTheme="minorHAnsi" w:hAnsiTheme="minorHAnsi"/>
                <w:sz w:val="20"/>
                <w:szCs w:val="20"/>
              </w:rPr>
              <w:t>Chlorpyrifos-oxon is potentially &gt; 41 times more toxic than chlorpyrifos</w:t>
            </w:r>
          </w:p>
        </w:tc>
      </w:tr>
      <w:tr w:rsidR="00995208" w:rsidRPr="00264463" w14:paraId="435BAED3" w14:textId="77777777" w:rsidTr="00F363DD">
        <w:trPr>
          <w:trHeight w:val="20"/>
          <w:jc w:val="center"/>
        </w:trPr>
        <w:tc>
          <w:tcPr>
            <w:tcW w:w="1513" w:type="dxa"/>
            <w:shd w:val="clear" w:color="auto" w:fill="FFFFFF"/>
            <w:vAlign w:val="center"/>
          </w:tcPr>
          <w:p w14:paraId="600D4D60"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Daphnid (</w:t>
            </w:r>
            <w:r w:rsidRPr="00264463">
              <w:rPr>
                <w:rFonts w:asciiTheme="minorHAnsi" w:hAnsiTheme="minorHAnsi"/>
                <w:i/>
                <w:sz w:val="20"/>
                <w:szCs w:val="20"/>
              </w:rPr>
              <w:t>Daphnia magna</w:t>
            </w:r>
            <w:r w:rsidRPr="00264463">
              <w:rPr>
                <w:rFonts w:asciiTheme="minorHAnsi" w:hAnsiTheme="minorHAnsi"/>
                <w:sz w:val="20"/>
                <w:szCs w:val="20"/>
              </w:rPr>
              <w:t>)</w:t>
            </w:r>
          </w:p>
        </w:tc>
        <w:tc>
          <w:tcPr>
            <w:tcW w:w="1624" w:type="dxa"/>
            <w:shd w:val="clear" w:color="auto" w:fill="FFFFFF"/>
            <w:tcMar>
              <w:top w:w="72" w:type="dxa"/>
              <w:left w:w="144" w:type="dxa"/>
              <w:bottom w:w="72" w:type="dxa"/>
              <w:right w:w="144" w:type="dxa"/>
            </w:tcMar>
            <w:vAlign w:val="center"/>
          </w:tcPr>
          <w:p w14:paraId="795E42E6"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EC</w:t>
            </w:r>
            <w:r w:rsidRPr="00264463">
              <w:rPr>
                <w:rFonts w:asciiTheme="minorHAnsi" w:hAnsiTheme="minorHAnsi"/>
                <w:sz w:val="20"/>
                <w:szCs w:val="20"/>
                <w:vertAlign w:val="subscript"/>
              </w:rPr>
              <w:t>50</w:t>
            </w:r>
            <w:r w:rsidRPr="00264463">
              <w:rPr>
                <w:rFonts w:asciiTheme="minorHAnsi" w:hAnsiTheme="minorHAnsi"/>
                <w:sz w:val="20"/>
                <w:szCs w:val="20"/>
              </w:rPr>
              <w:t xml:space="preserve"> (µg a.i./L)</w:t>
            </w:r>
          </w:p>
        </w:tc>
        <w:tc>
          <w:tcPr>
            <w:tcW w:w="1723" w:type="dxa"/>
            <w:shd w:val="clear" w:color="auto" w:fill="FFFFFF"/>
            <w:tcMar>
              <w:top w:w="72" w:type="dxa"/>
              <w:left w:w="144" w:type="dxa"/>
              <w:bottom w:w="72" w:type="dxa"/>
              <w:right w:w="144" w:type="dxa"/>
            </w:tcMar>
            <w:vAlign w:val="center"/>
          </w:tcPr>
          <w:p w14:paraId="30396864" w14:textId="2069EFFA" w:rsidR="00995208" w:rsidRPr="00264463" w:rsidRDefault="007C1571">
            <w:pPr>
              <w:contextualSpacing w:val="0"/>
              <w:jc w:val="center"/>
              <w:rPr>
                <w:rFonts w:asciiTheme="minorHAnsi" w:hAnsiTheme="minorHAnsi"/>
                <w:sz w:val="20"/>
                <w:szCs w:val="20"/>
              </w:rPr>
            </w:pPr>
            <w:r>
              <w:rPr>
                <w:rFonts w:asciiTheme="minorHAnsi" w:hAnsiTheme="minorHAnsi"/>
                <w:sz w:val="20"/>
                <w:szCs w:val="20"/>
              </w:rPr>
              <w:t>0.25 (N</w:t>
            </w:r>
            <w:r w:rsidR="00B16E93" w:rsidRPr="00264463">
              <w:rPr>
                <w:rFonts w:asciiTheme="minorHAnsi" w:hAnsiTheme="minorHAnsi"/>
                <w:sz w:val="20"/>
                <w:szCs w:val="20"/>
              </w:rPr>
              <w:t>A) (E157799)</w:t>
            </w:r>
          </w:p>
        </w:tc>
        <w:tc>
          <w:tcPr>
            <w:tcW w:w="2138" w:type="dxa"/>
            <w:shd w:val="clear" w:color="auto" w:fill="FFFFFF"/>
            <w:tcMar>
              <w:top w:w="72" w:type="dxa"/>
              <w:left w:w="144" w:type="dxa"/>
              <w:bottom w:w="72" w:type="dxa"/>
              <w:right w:w="144" w:type="dxa"/>
            </w:tcMar>
            <w:vAlign w:val="center"/>
          </w:tcPr>
          <w:p w14:paraId="2566A177"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2.78 (1.92 – 3.95) (48483702)</w:t>
            </w:r>
          </w:p>
        </w:tc>
        <w:tc>
          <w:tcPr>
            <w:tcW w:w="3082" w:type="dxa"/>
            <w:shd w:val="clear" w:color="auto" w:fill="FFFFFF"/>
            <w:tcMar>
              <w:top w:w="72" w:type="dxa"/>
              <w:left w:w="144" w:type="dxa"/>
              <w:bottom w:w="72" w:type="dxa"/>
              <w:right w:w="144" w:type="dxa"/>
            </w:tcMar>
            <w:vAlign w:val="center"/>
          </w:tcPr>
          <w:p w14:paraId="6D4D239A" w14:textId="77777777" w:rsidR="00995208" w:rsidRPr="00264463" w:rsidRDefault="00B16E93">
            <w:pPr>
              <w:contextualSpacing w:val="0"/>
              <w:rPr>
                <w:rFonts w:asciiTheme="minorHAnsi" w:hAnsiTheme="minorHAnsi"/>
                <w:sz w:val="20"/>
                <w:szCs w:val="20"/>
              </w:rPr>
            </w:pPr>
            <w:r w:rsidRPr="00264463">
              <w:rPr>
                <w:rFonts w:asciiTheme="minorHAnsi" w:hAnsiTheme="minorHAnsi"/>
                <w:sz w:val="20"/>
                <w:szCs w:val="20"/>
              </w:rPr>
              <w:t>Chlorpyrifos is ~11 times more toxic than chlorpyrifos-oxon</w:t>
            </w:r>
          </w:p>
        </w:tc>
      </w:tr>
      <w:tr w:rsidR="00995208" w:rsidRPr="00264463" w14:paraId="219FB15F" w14:textId="77777777" w:rsidTr="00F363DD">
        <w:trPr>
          <w:trHeight w:val="20"/>
          <w:jc w:val="center"/>
        </w:trPr>
        <w:tc>
          <w:tcPr>
            <w:tcW w:w="1513" w:type="dxa"/>
            <w:shd w:val="clear" w:color="auto" w:fill="FFFFFF"/>
            <w:vAlign w:val="center"/>
          </w:tcPr>
          <w:p w14:paraId="2F4EB370"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Australian coral (</w:t>
            </w:r>
            <w:r w:rsidRPr="00264463">
              <w:rPr>
                <w:rFonts w:asciiTheme="minorHAnsi" w:hAnsiTheme="minorHAnsi"/>
                <w:i/>
                <w:sz w:val="20"/>
                <w:szCs w:val="20"/>
              </w:rPr>
              <w:t>Acropora millipora</w:t>
            </w:r>
            <w:r w:rsidRPr="00264463">
              <w:rPr>
                <w:rFonts w:asciiTheme="minorHAnsi" w:hAnsiTheme="minorHAnsi"/>
                <w:sz w:val="20"/>
                <w:szCs w:val="20"/>
              </w:rPr>
              <w:t>)</w:t>
            </w:r>
          </w:p>
        </w:tc>
        <w:tc>
          <w:tcPr>
            <w:tcW w:w="1624" w:type="dxa"/>
            <w:shd w:val="clear" w:color="auto" w:fill="FFFFFF"/>
            <w:tcMar>
              <w:top w:w="72" w:type="dxa"/>
              <w:left w:w="144" w:type="dxa"/>
              <w:bottom w:w="72" w:type="dxa"/>
              <w:right w:w="144" w:type="dxa"/>
            </w:tcMar>
            <w:vAlign w:val="center"/>
          </w:tcPr>
          <w:p w14:paraId="7946A0E8" w14:textId="77777777" w:rsidR="00995208" w:rsidRPr="00264463" w:rsidRDefault="00B16E93">
            <w:pPr>
              <w:contextualSpacing w:val="0"/>
              <w:jc w:val="center"/>
              <w:rPr>
                <w:rFonts w:asciiTheme="minorHAnsi" w:hAnsiTheme="minorHAnsi"/>
                <w:sz w:val="20"/>
                <w:szCs w:val="20"/>
              </w:rPr>
            </w:pPr>
            <w:r w:rsidRPr="00264463">
              <w:rPr>
                <w:rFonts w:asciiTheme="minorHAnsi" w:hAnsiTheme="minorHAnsi"/>
                <w:sz w:val="20"/>
                <w:szCs w:val="20"/>
              </w:rPr>
              <w:t>NOAEC/LOAEC (for larval metamorphosis) (µg a.i./L)</w:t>
            </w:r>
          </w:p>
        </w:tc>
        <w:tc>
          <w:tcPr>
            <w:tcW w:w="1723" w:type="dxa"/>
            <w:shd w:val="clear" w:color="auto" w:fill="FFFFFF"/>
            <w:tcMar>
              <w:top w:w="72" w:type="dxa"/>
              <w:left w:w="144" w:type="dxa"/>
              <w:bottom w:w="72" w:type="dxa"/>
              <w:right w:w="144" w:type="dxa"/>
            </w:tcMar>
            <w:vAlign w:val="center"/>
          </w:tcPr>
          <w:p w14:paraId="2597E097" w14:textId="681EBEED" w:rsidR="00995208" w:rsidRPr="00264463" w:rsidRDefault="007C1571">
            <w:pPr>
              <w:contextualSpacing w:val="0"/>
              <w:jc w:val="center"/>
              <w:rPr>
                <w:rFonts w:asciiTheme="minorHAnsi" w:hAnsiTheme="minorHAnsi"/>
                <w:sz w:val="20"/>
                <w:szCs w:val="20"/>
              </w:rPr>
            </w:pPr>
            <w:r>
              <w:rPr>
                <w:rFonts w:asciiTheme="minorHAnsi" w:hAnsiTheme="minorHAnsi"/>
                <w:sz w:val="20"/>
                <w:szCs w:val="20"/>
              </w:rPr>
              <w:t>0.3/1.0 (N</w:t>
            </w:r>
            <w:r w:rsidR="00B16E93" w:rsidRPr="00264463">
              <w:rPr>
                <w:rFonts w:asciiTheme="minorHAnsi" w:hAnsiTheme="minorHAnsi"/>
                <w:sz w:val="20"/>
                <w:szCs w:val="20"/>
              </w:rPr>
              <w:t>A) (E100575)</w:t>
            </w:r>
          </w:p>
        </w:tc>
        <w:tc>
          <w:tcPr>
            <w:tcW w:w="2138" w:type="dxa"/>
            <w:shd w:val="clear" w:color="auto" w:fill="FFFFFF"/>
            <w:tcMar>
              <w:top w:w="72" w:type="dxa"/>
              <w:left w:w="144" w:type="dxa"/>
              <w:bottom w:w="72" w:type="dxa"/>
              <w:right w:w="144" w:type="dxa"/>
            </w:tcMar>
            <w:vAlign w:val="center"/>
          </w:tcPr>
          <w:p w14:paraId="4E8FC185" w14:textId="60FEFD12" w:rsidR="00995208" w:rsidRPr="00264463" w:rsidRDefault="007C1571">
            <w:pPr>
              <w:contextualSpacing w:val="0"/>
              <w:jc w:val="center"/>
              <w:rPr>
                <w:rFonts w:asciiTheme="minorHAnsi" w:hAnsiTheme="minorHAnsi"/>
                <w:sz w:val="20"/>
                <w:szCs w:val="20"/>
              </w:rPr>
            </w:pPr>
            <w:r>
              <w:rPr>
                <w:rFonts w:asciiTheme="minorHAnsi" w:hAnsiTheme="minorHAnsi"/>
                <w:sz w:val="20"/>
                <w:szCs w:val="20"/>
              </w:rPr>
              <w:t>0.1/0.3 (N</w:t>
            </w:r>
            <w:r w:rsidR="00B16E93" w:rsidRPr="00264463">
              <w:rPr>
                <w:rFonts w:asciiTheme="minorHAnsi" w:hAnsiTheme="minorHAnsi"/>
                <w:sz w:val="20"/>
                <w:szCs w:val="20"/>
              </w:rPr>
              <w:t>A) (E100575)</w:t>
            </w:r>
          </w:p>
        </w:tc>
        <w:tc>
          <w:tcPr>
            <w:tcW w:w="3082" w:type="dxa"/>
            <w:shd w:val="clear" w:color="auto" w:fill="FFFFFF"/>
            <w:tcMar>
              <w:top w:w="72" w:type="dxa"/>
              <w:left w:w="144" w:type="dxa"/>
              <w:bottom w:w="72" w:type="dxa"/>
              <w:right w:w="144" w:type="dxa"/>
            </w:tcMar>
            <w:vAlign w:val="center"/>
          </w:tcPr>
          <w:p w14:paraId="7BFFDBC9" w14:textId="77777777" w:rsidR="00995208" w:rsidRPr="00264463" w:rsidRDefault="00B16E93">
            <w:pPr>
              <w:contextualSpacing w:val="0"/>
              <w:rPr>
                <w:rFonts w:asciiTheme="minorHAnsi" w:hAnsiTheme="minorHAnsi"/>
                <w:sz w:val="20"/>
                <w:szCs w:val="20"/>
              </w:rPr>
            </w:pPr>
            <w:r w:rsidRPr="00264463">
              <w:rPr>
                <w:rFonts w:asciiTheme="minorHAnsi" w:hAnsiTheme="minorHAnsi"/>
                <w:sz w:val="20"/>
                <w:szCs w:val="20"/>
              </w:rPr>
              <w:t>Chlorpyrifos-oxon is 3 times more toxic than chlorpyrifos</w:t>
            </w:r>
          </w:p>
        </w:tc>
      </w:tr>
    </w:tbl>
    <w:p w14:paraId="06644D07" w14:textId="5B6D11AA" w:rsidR="00995208" w:rsidRPr="007C1571" w:rsidRDefault="007C1571">
      <w:pPr>
        <w:rPr>
          <w:sz w:val="20"/>
          <w:szCs w:val="20"/>
        </w:rPr>
      </w:pPr>
      <w:r w:rsidRPr="007C1571">
        <w:rPr>
          <w:sz w:val="20"/>
          <w:szCs w:val="20"/>
          <w:vertAlign w:val="superscript"/>
        </w:rPr>
        <w:t>1</w:t>
      </w:r>
      <w:r>
        <w:rPr>
          <w:sz w:val="20"/>
          <w:szCs w:val="20"/>
        </w:rPr>
        <w:t xml:space="preserve"> N</w:t>
      </w:r>
      <w:r w:rsidRPr="007C1571">
        <w:rPr>
          <w:sz w:val="20"/>
          <w:szCs w:val="20"/>
        </w:rPr>
        <w:t>A = Not available.</w:t>
      </w:r>
    </w:p>
    <w:p w14:paraId="50EBABE8" w14:textId="77777777" w:rsidR="00995208" w:rsidRDefault="00B16E93">
      <w:r>
        <w:br w:type="page"/>
      </w:r>
    </w:p>
    <w:p w14:paraId="7C2EBD1E" w14:textId="77777777" w:rsidR="00995208" w:rsidRDefault="00995208"/>
    <w:p w14:paraId="281A1FEF" w14:textId="77777777" w:rsidR="00995208" w:rsidRDefault="00995208">
      <w:pPr>
        <w:spacing w:after="160" w:line="259" w:lineRule="auto"/>
      </w:pPr>
    </w:p>
    <w:p w14:paraId="0D47ED5E" w14:textId="30C2DD2C" w:rsidR="00995208" w:rsidRPr="00264463" w:rsidRDefault="00B16E93">
      <w:r w:rsidRPr="00264463">
        <w:rPr>
          <w:b/>
        </w:rPr>
        <w:t xml:space="preserve">Table </w:t>
      </w:r>
      <w:r w:rsidR="00B735D9">
        <w:rPr>
          <w:b/>
        </w:rPr>
        <w:t>B 1-9.2</w:t>
      </w:r>
      <w:r w:rsidR="00CA5D0B">
        <w:rPr>
          <w:b/>
        </w:rPr>
        <w:t>. Comparison of toxicity data available for chlorpyrifos and TCP</w:t>
      </w:r>
      <w:r w:rsidRPr="00264463">
        <w:rPr>
          <w:b/>
        </w:rPr>
        <w:t xml:space="preserve"> </w:t>
      </w:r>
    </w:p>
    <w:tbl>
      <w:tblPr>
        <w:tblStyle w:val="a0"/>
        <w:tblW w:w="10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522"/>
        <w:gridCol w:w="1484"/>
        <w:gridCol w:w="1854"/>
        <w:gridCol w:w="2057"/>
        <w:gridCol w:w="3163"/>
      </w:tblGrid>
      <w:tr w:rsidR="00995208" w:rsidRPr="00264463" w14:paraId="6DF25D3A" w14:textId="77777777" w:rsidTr="00F363DD">
        <w:trPr>
          <w:trHeight w:val="20"/>
          <w:tblHeader/>
          <w:jc w:val="center"/>
        </w:trPr>
        <w:tc>
          <w:tcPr>
            <w:tcW w:w="1522" w:type="dxa"/>
            <w:shd w:val="clear" w:color="auto" w:fill="E7E6E6"/>
            <w:vAlign w:val="center"/>
          </w:tcPr>
          <w:p w14:paraId="1B69E4F3" w14:textId="77777777" w:rsidR="00995208" w:rsidRPr="00264463" w:rsidRDefault="00B16E93">
            <w:pPr>
              <w:contextualSpacing w:val="0"/>
              <w:jc w:val="center"/>
              <w:rPr>
                <w:sz w:val="20"/>
                <w:szCs w:val="20"/>
              </w:rPr>
            </w:pPr>
            <w:r w:rsidRPr="00264463">
              <w:rPr>
                <w:b/>
                <w:sz w:val="20"/>
                <w:szCs w:val="20"/>
              </w:rPr>
              <w:t>Test Species</w:t>
            </w:r>
          </w:p>
        </w:tc>
        <w:tc>
          <w:tcPr>
            <w:tcW w:w="1484" w:type="dxa"/>
            <w:shd w:val="clear" w:color="auto" w:fill="E7E6E6"/>
            <w:tcMar>
              <w:top w:w="72" w:type="dxa"/>
              <w:left w:w="144" w:type="dxa"/>
              <w:bottom w:w="72" w:type="dxa"/>
              <w:right w:w="144" w:type="dxa"/>
            </w:tcMar>
            <w:vAlign w:val="center"/>
          </w:tcPr>
          <w:p w14:paraId="488101CA" w14:textId="77777777" w:rsidR="00995208" w:rsidRPr="00264463" w:rsidRDefault="00B16E93">
            <w:pPr>
              <w:contextualSpacing w:val="0"/>
              <w:jc w:val="center"/>
              <w:rPr>
                <w:sz w:val="20"/>
                <w:szCs w:val="20"/>
              </w:rPr>
            </w:pPr>
            <w:r w:rsidRPr="00264463">
              <w:rPr>
                <w:b/>
                <w:sz w:val="20"/>
                <w:szCs w:val="20"/>
              </w:rPr>
              <w:t>Endpoint (units)</w:t>
            </w:r>
          </w:p>
        </w:tc>
        <w:tc>
          <w:tcPr>
            <w:tcW w:w="1854" w:type="dxa"/>
            <w:shd w:val="clear" w:color="auto" w:fill="E7E6E6"/>
            <w:tcMar>
              <w:top w:w="72" w:type="dxa"/>
              <w:left w:w="144" w:type="dxa"/>
              <w:bottom w:w="72" w:type="dxa"/>
              <w:right w:w="144" w:type="dxa"/>
            </w:tcMar>
            <w:vAlign w:val="center"/>
          </w:tcPr>
          <w:p w14:paraId="182E6F1D" w14:textId="77777777" w:rsidR="00995208" w:rsidRPr="00264463" w:rsidRDefault="00B16E93">
            <w:pPr>
              <w:contextualSpacing w:val="0"/>
              <w:jc w:val="center"/>
              <w:rPr>
                <w:sz w:val="20"/>
                <w:szCs w:val="20"/>
              </w:rPr>
            </w:pPr>
            <w:r w:rsidRPr="00264463">
              <w:rPr>
                <w:b/>
                <w:sz w:val="20"/>
                <w:szCs w:val="20"/>
              </w:rPr>
              <w:t>Chlorpyrifos Value (CI) (Ref.)</w:t>
            </w:r>
          </w:p>
        </w:tc>
        <w:tc>
          <w:tcPr>
            <w:tcW w:w="2057" w:type="dxa"/>
            <w:shd w:val="clear" w:color="auto" w:fill="E7E6E6"/>
            <w:tcMar>
              <w:top w:w="72" w:type="dxa"/>
              <w:left w:w="144" w:type="dxa"/>
              <w:bottom w:w="72" w:type="dxa"/>
              <w:right w:w="144" w:type="dxa"/>
            </w:tcMar>
            <w:vAlign w:val="center"/>
          </w:tcPr>
          <w:p w14:paraId="48695F03" w14:textId="77777777" w:rsidR="00995208" w:rsidRPr="00264463" w:rsidRDefault="00B16E93">
            <w:pPr>
              <w:contextualSpacing w:val="0"/>
              <w:jc w:val="center"/>
              <w:rPr>
                <w:sz w:val="20"/>
                <w:szCs w:val="20"/>
              </w:rPr>
            </w:pPr>
            <w:r w:rsidRPr="00264463">
              <w:rPr>
                <w:sz w:val="20"/>
                <w:szCs w:val="20"/>
              </w:rPr>
              <w:t>TCP</w:t>
            </w:r>
          </w:p>
        </w:tc>
        <w:tc>
          <w:tcPr>
            <w:tcW w:w="3163" w:type="dxa"/>
            <w:shd w:val="clear" w:color="auto" w:fill="E7E6E6"/>
            <w:tcMar>
              <w:top w:w="72" w:type="dxa"/>
              <w:left w:w="144" w:type="dxa"/>
              <w:bottom w:w="72" w:type="dxa"/>
              <w:right w:w="144" w:type="dxa"/>
            </w:tcMar>
            <w:vAlign w:val="center"/>
          </w:tcPr>
          <w:p w14:paraId="0D6EC7C4" w14:textId="77777777" w:rsidR="00995208" w:rsidRPr="00264463" w:rsidRDefault="00B16E93">
            <w:pPr>
              <w:contextualSpacing w:val="0"/>
              <w:jc w:val="center"/>
              <w:rPr>
                <w:sz w:val="20"/>
                <w:szCs w:val="20"/>
              </w:rPr>
            </w:pPr>
            <w:r w:rsidRPr="00264463">
              <w:rPr>
                <w:b/>
                <w:sz w:val="20"/>
                <w:szCs w:val="20"/>
              </w:rPr>
              <w:t>Comments</w:t>
            </w:r>
          </w:p>
        </w:tc>
      </w:tr>
      <w:tr w:rsidR="00995208" w:rsidRPr="00264463" w14:paraId="4D751526" w14:textId="77777777" w:rsidTr="004F3D25">
        <w:trPr>
          <w:trHeight w:val="20"/>
          <w:jc w:val="center"/>
        </w:trPr>
        <w:tc>
          <w:tcPr>
            <w:tcW w:w="10080" w:type="dxa"/>
            <w:gridSpan w:val="5"/>
            <w:shd w:val="clear" w:color="auto" w:fill="E7E6E6"/>
            <w:vAlign w:val="center"/>
          </w:tcPr>
          <w:p w14:paraId="05EF6EAA" w14:textId="77777777" w:rsidR="00995208" w:rsidRPr="00264463" w:rsidRDefault="00B16E93">
            <w:pPr>
              <w:contextualSpacing w:val="0"/>
              <w:jc w:val="center"/>
              <w:rPr>
                <w:sz w:val="20"/>
                <w:szCs w:val="20"/>
              </w:rPr>
            </w:pPr>
            <w:r w:rsidRPr="00264463">
              <w:rPr>
                <w:b/>
                <w:i/>
                <w:sz w:val="20"/>
                <w:szCs w:val="20"/>
              </w:rPr>
              <w:t>TERRESTRIAL</w:t>
            </w:r>
          </w:p>
        </w:tc>
      </w:tr>
      <w:tr w:rsidR="00995208" w:rsidRPr="00264463" w14:paraId="23D31C12" w14:textId="77777777" w:rsidTr="004F3D25">
        <w:trPr>
          <w:trHeight w:val="20"/>
          <w:jc w:val="center"/>
        </w:trPr>
        <w:tc>
          <w:tcPr>
            <w:tcW w:w="1522" w:type="dxa"/>
            <w:shd w:val="clear" w:color="auto" w:fill="FFFFFF"/>
            <w:vAlign w:val="center"/>
          </w:tcPr>
          <w:p w14:paraId="1FB91EC9" w14:textId="77777777" w:rsidR="00995208" w:rsidRPr="00264463" w:rsidRDefault="00B16E93">
            <w:pPr>
              <w:contextualSpacing w:val="0"/>
              <w:jc w:val="center"/>
              <w:rPr>
                <w:sz w:val="20"/>
                <w:szCs w:val="20"/>
              </w:rPr>
            </w:pPr>
            <w:r w:rsidRPr="00264463">
              <w:rPr>
                <w:sz w:val="20"/>
                <w:szCs w:val="20"/>
              </w:rPr>
              <w:t>Northern bobwhite quail (</w:t>
            </w:r>
            <w:r w:rsidRPr="00264463">
              <w:rPr>
                <w:i/>
                <w:sz w:val="20"/>
                <w:szCs w:val="20"/>
              </w:rPr>
              <w:t>Colinus virginianus</w:t>
            </w:r>
            <w:r w:rsidRPr="00264463">
              <w:rPr>
                <w:sz w:val="20"/>
                <w:szCs w:val="20"/>
              </w:rPr>
              <w:t>)</w:t>
            </w:r>
          </w:p>
        </w:tc>
        <w:tc>
          <w:tcPr>
            <w:tcW w:w="1484" w:type="dxa"/>
            <w:shd w:val="clear" w:color="auto" w:fill="FFFFFF"/>
            <w:tcMar>
              <w:top w:w="72" w:type="dxa"/>
              <w:left w:w="144" w:type="dxa"/>
              <w:bottom w:w="72" w:type="dxa"/>
              <w:right w:w="144" w:type="dxa"/>
            </w:tcMar>
            <w:vAlign w:val="center"/>
          </w:tcPr>
          <w:p w14:paraId="1BDEBF8B" w14:textId="77777777" w:rsidR="00995208" w:rsidRPr="00264463" w:rsidRDefault="00B16E93">
            <w:pPr>
              <w:contextualSpacing w:val="0"/>
              <w:jc w:val="center"/>
              <w:rPr>
                <w:sz w:val="20"/>
                <w:szCs w:val="20"/>
              </w:rPr>
            </w:pPr>
            <w:r w:rsidRPr="00264463">
              <w:rPr>
                <w:sz w:val="20"/>
                <w:szCs w:val="20"/>
              </w:rPr>
              <w:t>LD</w:t>
            </w:r>
            <w:r w:rsidRPr="00264463">
              <w:rPr>
                <w:sz w:val="20"/>
                <w:szCs w:val="20"/>
                <w:vertAlign w:val="subscript"/>
              </w:rPr>
              <w:t>50</w:t>
            </w:r>
            <w:r w:rsidRPr="00264463">
              <w:rPr>
                <w:sz w:val="20"/>
                <w:szCs w:val="20"/>
              </w:rPr>
              <w:t xml:space="preserve"> (mg-kg-bw)</w:t>
            </w:r>
          </w:p>
        </w:tc>
        <w:tc>
          <w:tcPr>
            <w:tcW w:w="1854" w:type="dxa"/>
            <w:shd w:val="clear" w:color="auto" w:fill="FFFFFF"/>
            <w:tcMar>
              <w:top w:w="72" w:type="dxa"/>
              <w:left w:w="144" w:type="dxa"/>
              <w:bottom w:w="72" w:type="dxa"/>
              <w:right w:w="144" w:type="dxa"/>
            </w:tcMar>
            <w:vAlign w:val="center"/>
          </w:tcPr>
          <w:p w14:paraId="4B66E5A7" w14:textId="77777777" w:rsidR="00995208" w:rsidRPr="00264463" w:rsidRDefault="00B16E93">
            <w:pPr>
              <w:contextualSpacing w:val="0"/>
              <w:jc w:val="center"/>
              <w:rPr>
                <w:sz w:val="20"/>
                <w:szCs w:val="20"/>
              </w:rPr>
            </w:pPr>
            <w:r w:rsidRPr="00264463">
              <w:rPr>
                <w:sz w:val="20"/>
                <w:szCs w:val="20"/>
              </w:rPr>
              <w:t>32 (24-43) (MRID 41043901)</w:t>
            </w:r>
          </w:p>
        </w:tc>
        <w:tc>
          <w:tcPr>
            <w:tcW w:w="2057" w:type="dxa"/>
            <w:shd w:val="clear" w:color="auto" w:fill="FFFFFF"/>
            <w:tcMar>
              <w:top w:w="72" w:type="dxa"/>
              <w:left w:w="144" w:type="dxa"/>
              <w:bottom w:w="72" w:type="dxa"/>
              <w:right w:w="144" w:type="dxa"/>
            </w:tcMar>
            <w:vAlign w:val="center"/>
          </w:tcPr>
          <w:p w14:paraId="45850D50" w14:textId="10023AB8" w:rsidR="00995208" w:rsidRPr="00264463" w:rsidRDefault="00B36E5D">
            <w:pPr>
              <w:contextualSpacing w:val="0"/>
              <w:jc w:val="center"/>
              <w:rPr>
                <w:sz w:val="20"/>
                <w:szCs w:val="20"/>
              </w:rPr>
            </w:pPr>
            <w:r>
              <w:rPr>
                <w:sz w:val="20"/>
                <w:szCs w:val="20"/>
              </w:rPr>
              <w:t>&gt;2,000 (N</w:t>
            </w:r>
            <w:r w:rsidR="00B16E93" w:rsidRPr="00264463">
              <w:rPr>
                <w:sz w:val="20"/>
                <w:szCs w:val="20"/>
              </w:rPr>
              <w:t>A</w:t>
            </w:r>
            <w:r w:rsidRPr="00B36E5D">
              <w:rPr>
                <w:sz w:val="20"/>
                <w:szCs w:val="20"/>
                <w:vertAlign w:val="superscript"/>
              </w:rPr>
              <w:t>1</w:t>
            </w:r>
            <w:r w:rsidR="00B16E93" w:rsidRPr="00264463">
              <w:rPr>
                <w:sz w:val="20"/>
                <w:szCs w:val="20"/>
              </w:rPr>
              <w:t>) (MRID 418290-01)</w:t>
            </w:r>
          </w:p>
        </w:tc>
        <w:tc>
          <w:tcPr>
            <w:tcW w:w="3163" w:type="dxa"/>
            <w:shd w:val="clear" w:color="auto" w:fill="FFFFFF"/>
            <w:tcMar>
              <w:top w:w="72" w:type="dxa"/>
              <w:left w:w="144" w:type="dxa"/>
              <w:bottom w:w="72" w:type="dxa"/>
              <w:right w:w="144" w:type="dxa"/>
            </w:tcMar>
            <w:vAlign w:val="center"/>
          </w:tcPr>
          <w:p w14:paraId="1C5C8125" w14:textId="77777777" w:rsidR="00995208" w:rsidRPr="00264463" w:rsidRDefault="00B16E93">
            <w:pPr>
              <w:contextualSpacing w:val="0"/>
              <w:rPr>
                <w:sz w:val="20"/>
                <w:szCs w:val="20"/>
              </w:rPr>
            </w:pPr>
            <w:r w:rsidRPr="00264463">
              <w:rPr>
                <w:sz w:val="20"/>
                <w:szCs w:val="20"/>
              </w:rPr>
              <w:t>Chlorpyrifos is &gt; 62.5 times more toxic than TCP</w:t>
            </w:r>
          </w:p>
        </w:tc>
      </w:tr>
      <w:tr w:rsidR="00995208" w:rsidRPr="00264463" w14:paraId="3830A9CC" w14:textId="77777777" w:rsidTr="004F3D25">
        <w:trPr>
          <w:trHeight w:val="20"/>
          <w:jc w:val="center"/>
        </w:trPr>
        <w:tc>
          <w:tcPr>
            <w:tcW w:w="1522" w:type="dxa"/>
            <w:shd w:val="clear" w:color="auto" w:fill="FFFFFF"/>
            <w:vAlign w:val="center"/>
          </w:tcPr>
          <w:p w14:paraId="74E897C8" w14:textId="77777777" w:rsidR="00995208" w:rsidRPr="00264463" w:rsidRDefault="00B16E93">
            <w:pPr>
              <w:contextualSpacing w:val="0"/>
              <w:jc w:val="center"/>
              <w:rPr>
                <w:sz w:val="20"/>
                <w:szCs w:val="20"/>
              </w:rPr>
            </w:pPr>
            <w:r w:rsidRPr="00264463">
              <w:rPr>
                <w:sz w:val="20"/>
                <w:szCs w:val="20"/>
              </w:rPr>
              <w:t>Mallard duck (</w:t>
            </w:r>
            <w:r w:rsidRPr="00264463">
              <w:rPr>
                <w:i/>
                <w:sz w:val="20"/>
                <w:szCs w:val="20"/>
              </w:rPr>
              <w:t>Anas platyrhynchos</w:t>
            </w:r>
            <w:r w:rsidRPr="00264463">
              <w:rPr>
                <w:sz w:val="20"/>
                <w:szCs w:val="20"/>
              </w:rPr>
              <w:t>)</w:t>
            </w:r>
          </w:p>
        </w:tc>
        <w:tc>
          <w:tcPr>
            <w:tcW w:w="1484" w:type="dxa"/>
            <w:shd w:val="clear" w:color="auto" w:fill="FFFFFF"/>
            <w:tcMar>
              <w:top w:w="72" w:type="dxa"/>
              <w:left w:w="144" w:type="dxa"/>
              <w:bottom w:w="72" w:type="dxa"/>
              <w:right w:w="144" w:type="dxa"/>
            </w:tcMar>
            <w:vAlign w:val="center"/>
          </w:tcPr>
          <w:p w14:paraId="1A13CB2B" w14:textId="77777777" w:rsidR="00995208" w:rsidRPr="00264463" w:rsidRDefault="00B16E93">
            <w:pPr>
              <w:contextualSpacing w:val="0"/>
              <w:jc w:val="center"/>
              <w:rPr>
                <w:sz w:val="20"/>
                <w:szCs w:val="20"/>
              </w:rPr>
            </w:pPr>
            <w:r w:rsidRPr="00264463">
              <w:rPr>
                <w:sz w:val="20"/>
                <w:szCs w:val="20"/>
              </w:rPr>
              <w:t>LC</w:t>
            </w:r>
            <w:r w:rsidRPr="00264463">
              <w:rPr>
                <w:sz w:val="20"/>
                <w:szCs w:val="20"/>
                <w:vertAlign w:val="subscript"/>
              </w:rPr>
              <w:t>50</w:t>
            </w:r>
          </w:p>
          <w:p w14:paraId="0465FFAD" w14:textId="77777777" w:rsidR="00995208" w:rsidRPr="00264463" w:rsidRDefault="00B16E93">
            <w:pPr>
              <w:contextualSpacing w:val="0"/>
              <w:jc w:val="center"/>
              <w:rPr>
                <w:sz w:val="20"/>
                <w:szCs w:val="20"/>
              </w:rPr>
            </w:pPr>
            <w:r w:rsidRPr="00264463">
              <w:rPr>
                <w:sz w:val="20"/>
                <w:szCs w:val="20"/>
              </w:rPr>
              <w:t>(mg/kg-diet)</w:t>
            </w:r>
          </w:p>
        </w:tc>
        <w:tc>
          <w:tcPr>
            <w:tcW w:w="1854" w:type="dxa"/>
            <w:shd w:val="clear" w:color="auto" w:fill="FFFFFF"/>
            <w:tcMar>
              <w:top w:w="72" w:type="dxa"/>
              <w:left w:w="144" w:type="dxa"/>
              <w:bottom w:w="72" w:type="dxa"/>
              <w:right w:w="144" w:type="dxa"/>
            </w:tcMar>
            <w:vAlign w:val="center"/>
          </w:tcPr>
          <w:p w14:paraId="580E3529" w14:textId="77777777" w:rsidR="00995208" w:rsidRPr="00264463" w:rsidRDefault="00B16E93">
            <w:pPr>
              <w:contextualSpacing w:val="0"/>
              <w:jc w:val="center"/>
              <w:rPr>
                <w:sz w:val="20"/>
                <w:szCs w:val="20"/>
              </w:rPr>
            </w:pPr>
            <w:r w:rsidRPr="00264463">
              <w:rPr>
                <w:sz w:val="20"/>
                <w:szCs w:val="20"/>
              </w:rPr>
              <w:t>136 (84-212) (MRID 00095007)</w:t>
            </w:r>
          </w:p>
        </w:tc>
        <w:tc>
          <w:tcPr>
            <w:tcW w:w="2057" w:type="dxa"/>
            <w:shd w:val="clear" w:color="auto" w:fill="FFFFFF"/>
            <w:tcMar>
              <w:top w:w="72" w:type="dxa"/>
              <w:left w:w="144" w:type="dxa"/>
              <w:bottom w:w="72" w:type="dxa"/>
              <w:right w:w="144" w:type="dxa"/>
            </w:tcMar>
            <w:vAlign w:val="center"/>
          </w:tcPr>
          <w:p w14:paraId="341A5145" w14:textId="42A415E5" w:rsidR="00995208" w:rsidRPr="00264463" w:rsidRDefault="00B36E5D">
            <w:pPr>
              <w:contextualSpacing w:val="0"/>
              <w:jc w:val="center"/>
              <w:rPr>
                <w:sz w:val="20"/>
                <w:szCs w:val="20"/>
              </w:rPr>
            </w:pPr>
            <w:r>
              <w:rPr>
                <w:sz w:val="20"/>
                <w:szCs w:val="20"/>
              </w:rPr>
              <w:t>&gt;5,620 (N</w:t>
            </w:r>
            <w:r w:rsidR="00B16E93" w:rsidRPr="00264463">
              <w:rPr>
                <w:sz w:val="20"/>
                <w:szCs w:val="20"/>
              </w:rPr>
              <w:t xml:space="preserve">A) </w:t>
            </w:r>
          </w:p>
          <w:p w14:paraId="70AC82B4" w14:textId="77777777" w:rsidR="00995208" w:rsidRPr="00264463" w:rsidRDefault="00B16E93">
            <w:pPr>
              <w:contextualSpacing w:val="0"/>
              <w:jc w:val="center"/>
              <w:rPr>
                <w:sz w:val="20"/>
                <w:szCs w:val="20"/>
              </w:rPr>
            </w:pPr>
            <w:r w:rsidRPr="00264463">
              <w:rPr>
                <w:sz w:val="20"/>
                <w:szCs w:val="20"/>
              </w:rPr>
              <w:t>(MRID 41829002)</w:t>
            </w:r>
          </w:p>
        </w:tc>
        <w:tc>
          <w:tcPr>
            <w:tcW w:w="3163" w:type="dxa"/>
            <w:shd w:val="clear" w:color="auto" w:fill="FFFFFF"/>
            <w:tcMar>
              <w:top w:w="72" w:type="dxa"/>
              <w:left w:w="144" w:type="dxa"/>
              <w:bottom w:w="72" w:type="dxa"/>
              <w:right w:w="144" w:type="dxa"/>
            </w:tcMar>
            <w:vAlign w:val="center"/>
          </w:tcPr>
          <w:p w14:paraId="251F2DE6" w14:textId="77777777" w:rsidR="00995208" w:rsidRPr="00264463" w:rsidRDefault="00B16E93">
            <w:pPr>
              <w:contextualSpacing w:val="0"/>
              <w:rPr>
                <w:sz w:val="20"/>
                <w:szCs w:val="20"/>
              </w:rPr>
            </w:pPr>
            <w:r w:rsidRPr="00264463">
              <w:rPr>
                <w:sz w:val="20"/>
                <w:szCs w:val="20"/>
              </w:rPr>
              <w:t>Chlorpyrifos is &gt; 41.3 times more toxic than TCP</w:t>
            </w:r>
          </w:p>
        </w:tc>
      </w:tr>
      <w:tr w:rsidR="00995208" w:rsidRPr="00264463" w14:paraId="5CD8BADF" w14:textId="77777777" w:rsidTr="004F3D25">
        <w:trPr>
          <w:trHeight w:val="20"/>
          <w:jc w:val="center"/>
        </w:trPr>
        <w:tc>
          <w:tcPr>
            <w:tcW w:w="1522" w:type="dxa"/>
            <w:shd w:val="clear" w:color="auto" w:fill="FFFFFF"/>
            <w:vAlign w:val="center"/>
          </w:tcPr>
          <w:p w14:paraId="3DEEB766" w14:textId="77777777" w:rsidR="00995208" w:rsidRPr="00264463" w:rsidRDefault="00B16E93">
            <w:pPr>
              <w:contextualSpacing w:val="0"/>
              <w:jc w:val="center"/>
              <w:rPr>
                <w:sz w:val="20"/>
                <w:szCs w:val="20"/>
              </w:rPr>
            </w:pPr>
            <w:r w:rsidRPr="00264463">
              <w:rPr>
                <w:sz w:val="20"/>
                <w:szCs w:val="20"/>
              </w:rPr>
              <w:t>Chicken (White leghorn cockerels, HY-Line 934E)</w:t>
            </w:r>
          </w:p>
        </w:tc>
        <w:tc>
          <w:tcPr>
            <w:tcW w:w="1484" w:type="dxa"/>
            <w:shd w:val="clear" w:color="auto" w:fill="FFFFFF"/>
            <w:tcMar>
              <w:top w:w="72" w:type="dxa"/>
              <w:left w:w="144" w:type="dxa"/>
              <w:bottom w:w="72" w:type="dxa"/>
              <w:right w:w="144" w:type="dxa"/>
            </w:tcMar>
            <w:vAlign w:val="center"/>
          </w:tcPr>
          <w:p w14:paraId="09FE980E" w14:textId="77777777" w:rsidR="00995208" w:rsidRPr="00264463" w:rsidRDefault="00B16E93">
            <w:pPr>
              <w:contextualSpacing w:val="0"/>
              <w:jc w:val="center"/>
              <w:rPr>
                <w:sz w:val="20"/>
                <w:szCs w:val="20"/>
              </w:rPr>
            </w:pPr>
            <w:r w:rsidRPr="00264463">
              <w:rPr>
                <w:sz w:val="20"/>
                <w:szCs w:val="20"/>
              </w:rPr>
              <w:t>LD</w:t>
            </w:r>
            <w:r w:rsidRPr="00264463">
              <w:rPr>
                <w:sz w:val="20"/>
                <w:szCs w:val="20"/>
                <w:vertAlign w:val="subscript"/>
              </w:rPr>
              <w:t>50</w:t>
            </w:r>
            <w:r w:rsidRPr="00264463">
              <w:rPr>
                <w:sz w:val="20"/>
                <w:szCs w:val="20"/>
              </w:rPr>
              <w:t xml:space="preserve"> (mg a.i./kg-bw)</w:t>
            </w:r>
          </w:p>
        </w:tc>
        <w:tc>
          <w:tcPr>
            <w:tcW w:w="1854" w:type="dxa"/>
            <w:shd w:val="clear" w:color="auto" w:fill="FFFFFF"/>
            <w:tcMar>
              <w:top w:w="72" w:type="dxa"/>
              <w:left w:w="144" w:type="dxa"/>
              <w:bottom w:w="72" w:type="dxa"/>
              <w:right w:w="144" w:type="dxa"/>
            </w:tcMar>
            <w:vAlign w:val="center"/>
          </w:tcPr>
          <w:p w14:paraId="071BF5F4" w14:textId="77777777" w:rsidR="00995208" w:rsidRPr="00264463" w:rsidRDefault="00B16E93">
            <w:pPr>
              <w:contextualSpacing w:val="0"/>
              <w:jc w:val="center"/>
              <w:rPr>
                <w:sz w:val="20"/>
                <w:szCs w:val="20"/>
              </w:rPr>
            </w:pPr>
            <w:r w:rsidRPr="00264463">
              <w:rPr>
                <w:sz w:val="20"/>
                <w:szCs w:val="20"/>
              </w:rPr>
              <w:t>34.8 (29.3 – 40.4) (MRID 00228759)</w:t>
            </w:r>
          </w:p>
        </w:tc>
        <w:tc>
          <w:tcPr>
            <w:tcW w:w="2057" w:type="dxa"/>
            <w:shd w:val="clear" w:color="auto" w:fill="FFFFFF"/>
            <w:tcMar>
              <w:top w:w="72" w:type="dxa"/>
              <w:left w:w="144" w:type="dxa"/>
              <w:bottom w:w="72" w:type="dxa"/>
              <w:right w:w="144" w:type="dxa"/>
            </w:tcMar>
            <w:vAlign w:val="center"/>
          </w:tcPr>
          <w:p w14:paraId="56B75334" w14:textId="19D48404" w:rsidR="00995208" w:rsidRPr="00264463" w:rsidRDefault="00B36E5D">
            <w:pPr>
              <w:contextualSpacing w:val="0"/>
              <w:jc w:val="center"/>
              <w:rPr>
                <w:sz w:val="20"/>
                <w:szCs w:val="20"/>
              </w:rPr>
            </w:pPr>
            <w:r>
              <w:rPr>
                <w:sz w:val="20"/>
                <w:szCs w:val="20"/>
              </w:rPr>
              <w:t>&gt;1,000 (N</w:t>
            </w:r>
            <w:r w:rsidR="00B16E93" w:rsidRPr="00264463">
              <w:rPr>
                <w:sz w:val="20"/>
                <w:szCs w:val="20"/>
              </w:rPr>
              <w:t>A) (MRID 00228759)</w:t>
            </w:r>
          </w:p>
        </w:tc>
        <w:tc>
          <w:tcPr>
            <w:tcW w:w="3163" w:type="dxa"/>
            <w:shd w:val="clear" w:color="auto" w:fill="FFFFFF"/>
            <w:tcMar>
              <w:top w:w="72" w:type="dxa"/>
              <w:left w:w="144" w:type="dxa"/>
              <w:bottom w:w="72" w:type="dxa"/>
              <w:right w:w="144" w:type="dxa"/>
            </w:tcMar>
            <w:vAlign w:val="center"/>
          </w:tcPr>
          <w:p w14:paraId="51FFC942" w14:textId="77777777" w:rsidR="00995208" w:rsidRPr="00264463" w:rsidRDefault="00B16E93">
            <w:pPr>
              <w:contextualSpacing w:val="0"/>
              <w:rPr>
                <w:sz w:val="20"/>
                <w:szCs w:val="20"/>
              </w:rPr>
            </w:pPr>
            <w:r w:rsidRPr="00264463">
              <w:rPr>
                <w:sz w:val="20"/>
                <w:szCs w:val="20"/>
              </w:rPr>
              <w:t>Chlorpyrifos is &gt; 29 times more toxic than TCP</w:t>
            </w:r>
          </w:p>
        </w:tc>
      </w:tr>
      <w:tr w:rsidR="00995208" w:rsidRPr="00264463" w14:paraId="46821C4E" w14:textId="77777777" w:rsidTr="004F3D25">
        <w:trPr>
          <w:trHeight w:val="20"/>
          <w:jc w:val="center"/>
        </w:trPr>
        <w:tc>
          <w:tcPr>
            <w:tcW w:w="1522" w:type="dxa"/>
            <w:shd w:val="clear" w:color="auto" w:fill="FFFFFF"/>
            <w:vAlign w:val="center"/>
          </w:tcPr>
          <w:p w14:paraId="0185EB4F" w14:textId="77777777" w:rsidR="00995208" w:rsidRPr="00264463" w:rsidRDefault="00B16E93">
            <w:pPr>
              <w:contextualSpacing w:val="0"/>
              <w:jc w:val="center"/>
              <w:rPr>
                <w:sz w:val="20"/>
                <w:szCs w:val="20"/>
              </w:rPr>
            </w:pPr>
            <w:r w:rsidRPr="00264463">
              <w:rPr>
                <w:sz w:val="20"/>
                <w:szCs w:val="20"/>
              </w:rPr>
              <w:t>Rat (</w:t>
            </w:r>
            <w:r w:rsidRPr="00264463">
              <w:rPr>
                <w:i/>
                <w:sz w:val="20"/>
                <w:szCs w:val="20"/>
              </w:rPr>
              <w:t>Rattus</w:t>
            </w:r>
            <w:r w:rsidRPr="00264463">
              <w:rPr>
                <w:sz w:val="20"/>
                <w:szCs w:val="20"/>
              </w:rPr>
              <w:t xml:space="preserve"> sp.)</w:t>
            </w:r>
          </w:p>
        </w:tc>
        <w:tc>
          <w:tcPr>
            <w:tcW w:w="1484" w:type="dxa"/>
            <w:shd w:val="clear" w:color="auto" w:fill="FFFFFF"/>
            <w:tcMar>
              <w:top w:w="72" w:type="dxa"/>
              <w:left w:w="144" w:type="dxa"/>
              <w:bottom w:w="72" w:type="dxa"/>
              <w:right w:w="144" w:type="dxa"/>
            </w:tcMar>
            <w:vAlign w:val="center"/>
          </w:tcPr>
          <w:p w14:paraId="09A0F791" w14:textId="77777777" w:rsidR="00995208" w:rsidRPr="00264463" w:rsidRDefault="00B16E93">
            <w:pPr>
              <w:contextualSpacing w:val="0"/>
              <w:jc w:val="center"/>
              <w:rPr>
                <w:sz w:val="20"/>
                <w:szCs w:val="20"/>
              </w:rPr>
            </w:pPr>
            <w:r w:rsidRPr="00264463">
              <w:rPr>
                <w:sz w:val="20"/>
                <w:szCs w:val="20"/>
              </w:rPr>
              <w:t>LD</w:t>
            </w:r>
            <w:r w:rsidRPr="00264463">
              <w:rPr>
                <w:sz w:val="20"/>
                <w:szCs w:val="20"/>
                <w:vertAlign w:val="subscript"/>
              </w:rPr>
              <w:t>50</w:t>
            </w:r>
            <w:r w:rsidRPr="00264463">
              <w:rPr>
                <w:sz w:val="20"/>
                <w:szCs w:val="20"/>
              </w:rPr>
              <w:t xml:space="preserve"> (mg/kg-bw)</w:t>
            </w:r>
          </w:p>
        </w:tc>
        <w:tc>
          <w:tcPr>
            <w:tcW w:w="1854" w:type="dxa"/>
            <w:shd w:val="clear" w:color="auto" w:fill="FFFFFF"/>
            <w:tcMar>
              <w:top w:w="72" w:type="dxa"/>
              <w:left w:w="144" w:type="dxa"/>
              <w:bottom w:w="72" w:type="dxa"/>
              <w:right w:w="144" w:type="dxa"/>
            </w:tcMar>
            <w:vAlign w:val="center"/>
          </w:tcPr>
          <w:p w14:paraId="7F461C30" w14:textId="77777777" w:rsidR="00995208" w:rsidRPr="00264463" w:rsidRDefault="00B16E93">
            <w:pPr>
              <w:contextualSpacing w:val="0"/>
              <w:jc w:val="center"/>
              <w:rPr>
                <w:sz w:val="20"/>
                <w:szCs w:val="20"/>
              </w:rPr>
            </w:pPr>
            <w:r w:rsidRPr="00264463">
              <w:rPr>
                <w:sz w:val="20"/>
                <w:szCs w:val="20"/>
              </w:rPr>
              <w:t>137 (MRID 00000179)</w:t>
            </w:r>
          </w:p>
        </w:tc>
        <w:tc>
          <w:tcPr>
            <w:tcW w:w="2057" w:type="dxa"/>
            <w:shd w:val="clear" w:color="auto" w:fill="FFFFFF"/>
            <w:tcMar>
              <w:top w:w="72" w:type="dxa"/>
              <w:left w:w="144" w:type="dxa"/>
              <w:bottom w:w="72" w:type="dxa"/>
              <w:right w:w="144" w:type="dxa"/>
            </w:tcMar>
            <w:vAlign w:val="center"/>
          </w:tcPr>
          <w:p w14:paraId="3FB450B7" w14:textId="77777777" w:rsidR="00995208" w:rsidRPr="00264463" w:rsidRDefault="00B16E93">
            <w:pPr>
              <w:contextualSpacing w:val="0"/>
              <w:jc w:val="center"/>
              <w:rPr>
                <w:sz w:val="20"/>
                <w:szCs w:val="20"/>
              </w:rPr>
            </w:pPr>
            <w:r w:rsidRPr="00264463">
              <w:rPr>
                <w:sz w:val="20"/>
                <w:szCs w:val="20"/>
              </w:rPr>
              <w:t>794/870 (MRID 3F2884 4/1/91)</w:t>
            </w:r>
          </w:p>
        </w:tc>
        <w:tc>
          <w:tcPr>
            <w:tcW w:w="3163" w:type="dxa"/>
            <w:shd w:val="clear" w:color="auto" w:fill="FFFFFF"/>
            <w:tcMar>
              <w:top w:w="72" w:type="dxa"/>
              <w:left w:w="144" w:type="dxa"/>
              <w:bottom w:w="72" w:type="dxa"/>
              <w:right w:w="144" w:type="dxa"/>
            </w:tcMar>
            <w:vAlign w:val="center"/>
          </w:tcPr>
          <w:p w14:paraId="038954AD" w14:textId="77777777" w:rsidR="00995208" w:rsidRPr="00264463" w:rsidRDefault="00B16E93">
            <w:pPr>
              <w:contextualSpacing w:val="0"/>
              <w:rPr>
                <w:sz w:val="20"/>
                <w:szCs w:val="20"/>
              </w:rPr>
            </w:pPr>
            <w:r w:rsidRPr="00264463">
              <w:rPr>
                <w:sz w:val="20"/>
                <w:szCs w:val="20"/>
              </w:rPr>
              <w:t>Chlorpyrifos is ~6 times more toxic than TCP</w:t>
            </w:r>
          </w:p>
        </w:tc>
      </w:tr>
      <w:tr w:rsidR="00995208" w:rsidRPr="00264463" w14:paraId="685316BD" w14:textId="77777777" w:rsidTr="004F3D25">
        <w:trPr>
          <w:trHeight w:val="20"/>
          <w:jc w:val="center"/>
        </w:trPr>
        <w:tc>
          <w:tcPr>
            <w:tcW w:w="10080" w:type="dxa"/>
            <w:gridSpan w:val="5"/>
            <w:shd w:val="clear" w:color="auto" w:fill="E7E6E6"/>
            <w:vAlign w:val="center"/>
          </w:tcPr>
          <w:p w14:paraId="0884C3AA" w14:textId="77777777" w:rsidR="00995208" w:rsidRPr="00264463" w:rsidRDefault="00B16E93">
            <w:pPr>
              <w:contextualSpacing w:val="0"/>
              <w:jc w:val="center"/>
              <w:rPr>
                <w:sz w:val="20"/>
                <w:szCs w:val="20"/>
              </w:rPr>
            </w:pPr>
            <w:r w:rsidRPr="00264463">
              <w:rPr>
                <w:b/>
                <w:i/>
                <w:sz w:val="20"/>
                <w:szCs w:val="20"/>
              </w:rPr>
              <w:t>AQUATIC</w:t>
            </w:r>
          </w:p>
        </w:tc>
      </w:tr>
      <w:tr w:rsidR="00995208" w:rsidRPr="00264463" w14:paraId="2D2DE256" w14:textId="77777777" w:rsidTr="004F3D25">
        <w:trPr>
          <w:trHeight w:val="20"/>
          <w:jc w:val="center"/>
        </w:trPr>
        <w:tc>
          <w:tcPr>
            <w:tcW w:w="1522" w:type="dxa"/>
            <w:shd w:val="clear" w:color="auto" w:fill="FFFFFF"/>
            <w:vAlign w:val="center"/>
          </w:tcPr>
          <w:p w14:paraId="569C4386" w14:textId="77777777" w:rsidR="00995208" w:rsidRPr="00264463" w:rsidRDefault="00B16E93">
            <w:pPr>
              <w:contextualSpacing w:val="0"/>
              <w:jc w:val="center"/>
              <w:rPr>
                <w:sz w:val="20"/>
                <w:szCs w:val="20"/>
              </w:rPr>
            </w:pPr>
            <w:r w:rsidRPr="00264463">
              <w:rPr>
                <w:sz w:val="20"/>
                <w:szCs w:val="20"/>
              </w:rPr>
              <w:t>Bluegill sunfish (</w:t>
            </w:r>
            <w:r w:rsidRPr="00264463">
              <w:rPr>
                <w:i/>
                <w:sz w:val="20"/>
                <w:szCs w:val="20"/>
              </w:rPr>
              <w:t>Lepomis macrochirus</w:t>
            </w:r>
            <w:r w:rsidRPr="00264463">
              <w:rPr>
                <w:sz w:val="20"/>
                <w:szCs w:val="20"/>
              </w:rPr>
              <w:t>)</w:t>
            </w:r>
          </w:p>
        </w:tc>
        <w:tc>
          <w:tcPr>
            <w:tcW w:w="1484" w:type="dxa"/>
            <w:shd w:val="clear" w:color="auto" w:fill="FFFFFF"/>
            <w:tcMar>
              <w:top w:w="72" w:type="dxa"/>
              <w:left w:w="144" w:type="dxa"/>
              <w:bottom w:w="72" w:type="dxa"/>
              <w:right w:w="144" w:type="dxa"/>
            </w:tcMar>
            <w:vAlign w:val="center"/>
          </w:tcPr>
          <w:p w14:paraId="43D756FA" w14:textId="77777777" w:rsidR="00995208" w:rsidRPr="00264463" w:rsidRDefault="00B16E93">
            <w:pPr>
              <w:contextualSpacing w:val="0"/>
              <w:jc w:val="center"/>
              <w:rPr>
                <w:sz w:val="20"/>
                <w:szCs w:val="20"/>
              </w:rPr>
            </w:pPr>
            <w:r w:rsidRPr="00264463">
              <w:rPr>
                <w:sz w:val="20"/>
                <w:szCs w:val="20"/>
              </w:rPr>
              <w:t>LC</w:t>
            </w:r>
            <w:r w:rsidRPr="00264463">
              <w:rPr>
                <w:sz w:val="20"/>
                <w:szCs w:val="20"/>
                <w:vertAlign w:val="subscript"/>
              </w:rPr>
              <w:t>50</w:t>
            </w:r>
          </w:p>
          <w:p w14:paraId="373092DB" w14:textId="77777777" w:rsidR="00995208" w:rsidRPr="00264463" w:rsidRDefault="00B16E93">
            <w:pPr>
              <w:contextualSpacing w:val="0"/>
              <w:jc w:val="center"/>
              <w:rPr>
                <w:sz w:val="20"/>
                <w:szCs w:val="20"/>
              </w:rPr>
            </w:pPr>
            <w:r w:rsidRPr="00264463">
              <w:rPr>
                <w:sz w:val="20"/>
                <w:szCs w:val="20"/>
              </w:rPr>
              <w:t>(mg/a.i./L)</w:t>
            </w:r>
          </w:p>
        </w:tc>
        <w:tc>
          <w:tcPr>
            <w:tcW w:w="1854" w:type="dxa"/>
            <w:shd w:val="clear" w:color="auto" w:fill="FFFFFF"/>
            <w:tcMar>
              <w:top w:w="72" w:type="dxa"/>
              <w:left w:w="144" w:type="dxa"/>
              <w:bottom w:w="72" w:type="dxa"/>
              <w:right w:w="144" w:type="dxa"/>
            </w:tcMar>
            <w:vAlign w:val="center"/>
          </w:tcPr>
          <w:p w14:paraId="5D7EB3D3" w14:textId="1409A034" w:rsidR="00995208" w:rsidRPr="00264463" w:rsidRDefault="00B36E5D">
            <w:pPr>
              <w:contextualSpacing w:val="0"/>
              <w:jc w:val="center"/>
              <w:rPr>
                <w:sz w:val="20"/>
                <w:szCs w:val="20"/>
              </w:rPr>
            </w:pPr>
            <w:r>
              <w:rPr>
                <w:sz w:val="20"/>
                <w:szCs w:val="20"/>
              </w:rPr>
              <w:t>0.0017 (N</w:t>
            </w:r>
            <w:r w:rsidR="00B16E93" w:rsidRPr="00264463">
              <w:rPr>
                <w:sz w:val="20"/>
                <w:szCs w:val="20"/>
              </w:rPr>
              <w:t>A) (E006797)</w:t>
            </w:r>
          </w:p>
        </w:tc>
        <w:tc>
          <w:tcPr>
            <w:tcW w:w="2057" w:type="dxa"/>
            <w:shd w:val="clear" w:color="auto" w:fill="FFFFFF"/>
            <w:tcMar>
              <w:top w:w="72" w:type="dxa"/>
              <w:left w:w="144" w:type="dxa"/>
              <w:bottom w:w="72" w:type="dxa"/>
              <w:right w:w="144" w:type="dxa"/>
            </w:tcMar>
            <w:vAlign w:val="center"/>
          </w:tcPr>
          <w:p w14:paraId="60C57E71" w14:textId="77777777" w:rsidR="00995208" w:rsidRPr="00264463" w:rsidRDefault="00B16E93">
            <w:pPr>
              <w:contextualSpacing w:val="0"/>
              <w:jc w:val="center"/>
              <w:rPr>
                <w:sz w:val="20"/>
                <w:szCs w:val="20"/>
              </w:rPr>
            </w:pPr>
            <w:r w:rsidRPr="00264463">
              <w:rPr>
                <w:sz w:val="20"/>
                <w:szCs w:val="20"/>
              </w:rPr>
              <w:t>12.5 (9.8 – 15.2) (MRID 41829003)</w:t>
            </w:r>
          </w:p>
        </w:tc>
        <w:tc>
          <w:tcPr>
            <w:tcW w:w="3163" w:type="dxa"/>
            <w:shd w:val="clear" w:color="auto" w:fill="FFFFFF"/>
            <w:tcMar>
              <w:top w:w="72" w:type="dxa"/>
              <w:left w:w="144" w:type="dxa"/>
              <w:bottom w:w="72" w:type="dxa"/>
              <w:right w:w="144" w:type="dxa"/>
            </w:tcMar>
            <w:vAlign w:val="center"/>
          </w:tcPr>
          <w:p w14:paraId="13909842" w14:textId="77777777" w:rsidR="00995208" w:rsidRPr="00264463" w:rsidRDefault="00B16E93">
            <w:pPr>
              <w:contextualSpacing w:val="0"/>
              <w:rPr>
                <w:sz w:val="20"/>
                <w:szCs w:val="20"/>
              </w:rPr>
            </w:pPr>
            <w:r w:rsidRPr="00264463">
              <w:rPr>
                <w:sz w:val="20"/>
                <w:szCs w:val="20"/>
              </w:rPr>
              <w:t>Chlorpyrifos is orders of magnitude more toxic than TCP</w:t>
            </w:r>
          </w:p>
        </w:tc>
      </w:tr>
      <w:tr w:rsidR="00995208" w:rsidRPr="00264463" w14:paraId="63254433" w14:textId="77777777" w:rsidTr="004F3D25">
        <w:trPr>
          <w:trHeight w:val="20"/>
          <w:jc w:val="center"/>
        </w:trPr>
        <w:tc>
          <w:tcPr>
            <w:tcW w:w="1522" w:type="dxa"/>
            <w:shd w:val="clear" w:color="auto" w:fill="FFFFFF"/>
            <w:vAlign w:val="center"/>
          </w:tcPr>
          <w:p w14:paraId="5450C639" w14:textId="77777777" w:rsidR="00995208" w:rsidRPr="00264463" w:rsidRDefault="00B16E93">
            <w:pPr>
              <w:contextualSpacing w:val="0"/>
              <w:jc w:val="center"/>
              <w:rPr>
                <w:sz w:val="20"/>
                <w:szCs w:val="20"/>
              </w:rPr>
            </w:pPr>
            <w:r w:rsidRPr="00264463">
              <w:rPr>
                <w:sz w:val="20"/>
                <w:szCs w:val="20"/>
              </w:rPr>
              <w:t>Rainbow trout (</w:t>
            </w:r>
            <w:r w:rsidRPr="00264463">
              <w:rPr>
                <w:i/>
                <w:sz w:val="20"/>
                <w:szCs w:val="20"/>
              </w:rPr>
              <w:t>Oncorhynchus mykiss</w:t>
            </w:r>
            <w:r w:rsidRPr="00264463">
              <w:rPr>
                <w:sz w:val="20"/>
                <w:szCs w:val="20"/>
              </w:rPr>
              <w:t>)</w:t>
            </w:r>
          </w:p>
        </w:tc>
        <w:tc>
          <w:tcPr>
            <w:tcW w:w="1484" w:type="dxa"/>
            <w:shd w:val="clear" w:color="auto" w:fill="FFFFFF"/>
            <w:tcMar>
              <w:top w:w="72" w:type="dxa"/>
              <w:left w:w="144" w:type="dxa"/>
              <w:bottom w:w="72" w:type="dxa"/>
              <w:right w:w="144" w:type="dxa"/>
            </w:tcMar>
            <w:vAlign w:val="center"/>
          </w:tcPr>
          <w:p w14:paraId="39D14F66" w14:textId="77777777" w:rsidR="00995208" w:rsidRPr="00264463" w:rsidRDefault="00B16E93">
            <w:pPr>
              <w:contextualSpacing w:val="0"/>
              <w:jc w:val="center"/>
              <w:rPr>
                <w:sz w:val="20"/>
                <w:szCs w:val="20"/>
              </w:rPr>
            </w:pPr>
            <w:r w:rsidRPr="00264463">
              <w:rPr>
                <w:sz w:val="20"/>
                <w:szCs w:val="20"/>
              </w:rPr>
              <w:t>LC</w:t>
            </w:r>
            <w:r w:rsidRPr="00264463">
              <w:rPr>
                <w:sz w:val="20"/>
                <w:szCs w:val="20"/>
                <w:vertAlign w:val="subscript"/>
              </w:rPr>
              <w:t>50</w:t>
            </w:r>
          </w:p>
          <w:p w14:paraId="2DDFDBF7" w14:textId="77777777" w:rsidR="00995208" w:rsidRPr="00264463" w:rsidRDefault="00B16E93">
            <w:pPr>
              <w:contextualSpacing w:val="0"/>
              <w:jc w:val="center"/>
              <w:rPr>
                <w:sz w:val="20"/>
                <w:szCs w:val="20"/>
              </w:rPr>
            </w:pPr>
            <w:r w:rsidRPr="00264463">
              <w:rPr>
                <w:sz w:val="20"/>
                <w:szCs w:val="20"/>
              </w:rPr>
              <w:t>(mg/a.i./L)</w:t>
            </w:r>
          </w:p>
        </w:tc>
        <w:tc>
          <w:tcPr>
            <w:tcW w:w="1854" w:type="dxa"/>
            <w:shd w:val="clear" w:color="auto" w:fill="FFFFFF"/>
            <w:tcMar>
              <w:top w:w="72" w:type="dxa"/>
              <w:left w:w="144" w:type="dxa"/>
              <w:bottom w:w="72" w:type="dxa"/>
              <w:right w:w="144" w:type="dxa"/>
            </w:tcMar>
            <w:vAlign w:val="center"/>
          </w:tcPr>
          <w:p w14:paraId="00065964" w14:textId="31B31C0C" w:rsidR="00995208" w:rsidRPr="00264463" w:rsidRDefault="00B16E93" w:rsidP="007C1571">
            <w:pPr>
              <w:contextualSpacing w:val="0"/>
              <w:jc w:val="center"/>
              <w:rPr>
                <w:sz w:val="20"/>
                <w:szCs w:val="20"/>
              </w:rPr>
            </w:pPr>
            <w:r w:rsidRPr="00264463">
              <w:rPr>
                <w:sz w:val="20"/>
                <w:szCs w:val="20"/>
              </w:rPr>
              <w:t xml:space="preserve">0.003 </w:t>
            </w:r>
            <w:r w:rsidR="00B36E5D">
              <w:rPr>
                <w:sz w:val="20"/>
                <w:szCs w:val="20"/>
              </w:rPr>
              <w:t>(N</w:t>
            </w:r>
            <w:r w:rsidR="007C1571">
              <w:rPr>
                <w:sz w:val="20"/>
                <w:szCs w:val="20"/>
              </w:rPr>
              <w:t xml:space="preserve">A) </w:t>
            </w:r>
            <w:r w:rsidRPr="00264463">
              <w:rPr>
                <w:sz w:val="20"/>
                <w:szCs w:val="20"/>
              </w:rPr>
              <w:t>(MRID 95013)</w:t>
            </w:r>
          </w:p>
        </w:tc>
        <w:tc>
          <w:tcPr>
            <w:tcW w:w="2057" w:type="dxa"/>
            <w:shd w:val="clear" w:color="auto" w:fill="FFFFFF"/>
            <w:tcMar>
              <w:top w:w="72" w:type="dxa"/>
              <w:left w:w="144" w:type="dxa"/>
              <w:bottom w:w="72" w:type="dxa"/>
              <w:right w:w="144" w:type="dxa"/>
            </w:tcMar>
            <w:vAlign w:val="center"/>
          </w:tcPr>
          <w:p w14:paraId="0EA00FD2" w14:textId="77777777" w:rsidR="00995208" w:rsidRPr="00264463" w:rsidRDefault="00B16E93">
            <w:pPr>
              <w:contextualSpacing w:val="0"/>
              <w:jc w:val="center"/>
              <w:rPr>
                <w:sz w:val="20"/>
                <w:szCs w:val="20"/>
              </w:rPr>
            </w:pPr>
            <w:r w:rsidRPr="00264463">
              <w:rPr>
                <w:sz w:val="20"/>
                <w:szCs w:val="20"/>
              </w:rPr>
              <w:t>12.6 (7.6 – 20.8) (MRID 41829004)</w:t>
            </w:r>
          </w:p>
        </w:tc>
        <w:tc>
          <w:tcPr>
            <w:tcW w:w="3163" w:type="dxa"/>
            <w:shd w:val="clear" w:color="auto" w:fill="FFFFFF"/>
            <w:tcMar>
              <w:top w:w="72" w:type="dxa"/>
              <w:left w:w="144" w:type="dxa"/>
              <w:bottom w:w="72" w:type="dxa"/>
              <w:right w:w="144" w:type="dxa"/>
            </w:tcMar>
            <w:vAlign w:val="center"/>
          </w:tcPr>
          <w:p w14:paraId="2D8BB180" w14:textId="77777777" w:rsidR="00995208" w:rsidRPr="00264463" w:rsidRDefault="00B16E93">
            <w:pPr>
              <w:contextualSpacing w:val="0"/>
              <w:rPr>
                <w:sz w:val="20"/>
                <w:szCs w:val="20"/>
              </w:rPr>
            </w:pPr>
            <w:r w:rsidRPr="00264463">
              <w:rPr>
                <w:sz w:val="20"/>
                <w:szCs w:val="20"/>
              </w:rPr>
              <w:t>Chlorpyrifos is orders of magnitude more toxic than TCP</w:t>
            </w:r>
          </w:p>
        </w:tc>
      </w:tr>
      <w:tr w:rsidR="00995208" w:rsidRPr="00264463" w14:paraId="39157C3C" w14:textId="77777777" w:rsidTr="004F3D25">
        <w:trPr>
          <w:trHeight w:val="20"/>
          <w:jc w:val="center"/>
        </w:trPr>
        <w:tc>
          <w:tcPr>
            <w:tcW w:w="1522" w:type="dxa"/>
            <w:shd w:val="clear" w:color="auto" w:fill="FFFFFF"/>
            <w:vAlign w:val="center"/>
          </w:tcPr>
          <w:p w14:paraId="27B631D8" w14:textId="77777777" w:rsidR="00995208" w:rsidRPr="00264463" w:rsidRDefault="00B16E93">
            <w:pPr>
              <w:contextualSpacing w:val="0"/>
              <w:jc w:val="center"/>
              <w:rPr>
                <w:sz w:val="20"/>
                <w:szCs w:val="20"/>
              </w:rPr>
            </w:pPr>
            <w:r w:rsidRPr="00264463">
              <w:rPr>
                <w:sz w:val="20"/>
                <w:szCs w:val="20"/>
              </w:rPr>
              <w:t>Atlantic silverside (</w:t>
            </w:r>
            <w:r w:rsidRPr="00264463">
              <w:rPr>
                <w:i/>
                <w:sz w:val="20"/>
                <w:szCs w:val="20"/>
              </w:rPr>
              <w:t>Menidia menidia</w:t>
            </w:r>
            <w:r w:rsidRPr="00264463">
              <w:rPr>
                <w:sz w:val="20"/>
                <w:szCs w:val="20"/>
              </w:rPr>
              <w:t>)</w:t>
            </w:r>
          </w:p>
        </w:tc>
        <w:tc>
          <w:tcPr>
            <w:tcW w:w="1484" w:type="dxa"/>
            <w:shd w:val="clear" w:color="auto" w:fill="FFFFFF"/>
            <w:tcMar>
              <w:top w:w="72" w:type="dxa"/>
              <w:left w:w="144" w:type="dxa"/>
              <w:bottom w:w="72" w:type="dxa"/>
              <w:right w:w="144" w:type="dxa"/>
            </w:tcMar>
            <w:vAlign w:val="center"/>
          </w:tcPr>
          <w:p w14:paraId="13A2F2BB" w14:textId="77777777" w:rsidR="00995208" w:rsidRPr="00264463" w:rsidRDefault="00B16E93">
            <w:pPr>
              <w:contextualSpacing w:val="0"/>
              <w:jc w:val="center"/>
              <w:rPr>
                <w:sz w:val="20"/>
                <w:szCs w:val="20"/>
              </w:rPr>
            </w:pPr>
            <w:r w:rsidRPr="00264463">
              <w:rPr>
                <w:sz w:val="20"/>
                <w:szCs w:val="20"/>
              </w:rPr>
              <w:t>LC</w:t>
            </w:r>
            <w:r w:rsidRPr="00264463">
              <w:rPr>
                <w:sz w:val="20"/>
                <w:szCs w:val="20"/>
                <w:vertAlign w:val="subscript"/>
              </w:rPr>
              <w:t>50</w:t>
            </w:r>
          </w:p>
          <w:p w14:paraId="6D469971" w14:textId="77777777" w:rsidR="00995208" w:rsidRPr="00264463" w:rsidRDefault="00B16E93">
            <w:pPr>
              <w:contextualSpacing w:val="0"/>
              <w:jc w:val="center"/>
              <w:rPr>
                <w:sz w:val="20"/>
                <w:szCs w:val="20"/>
              </w:rPr>
            </w:pPr>
            <w:r w:rsidRPr="00264463">
              <w:rPr>
                <w:sz w:val="20"/>
                <w:szCs w:val="20"/>
              </w:rPr>
              <w:t>(mg/a.i./L)</w:t>
            </w:r>
          </w:p>
        </w:tc>
        <w:tc>
          <w:tcPr>
            <w:tcW w:w="1854" w:type="dxa"/>
            <w:shd w:val="clear" w:color="auto" w:fill="FFFFFF"/>
            <w:tcMar>
              <w:top w:w="72" w:type="dxa"/>
              <w:left w:w="144" w:type="dxa"/>
              <w:bottom w:w="72" w:type="dxa"/>
              <w:right w:w="144" w:type="dxa"/>
            </w:tcMar>
            <w:vAlign w:val="center"/>
          </w:tcPr>
          <w:p w14:paraId="48797604" w14:textId="77777777" w:rsidR="00995208" w:rsidRPr="00264463" w:rsidRDefault="00B16E93">
            <w:pPr>
              <w:contextualSpacing w:val="0"/>
              <w:jc w:val="center"/>
              <w:rPr>
                <w:sz w:val="20"/>
                <w:szCs w:val="20"/>
              </w:rPr>
            </w:pPr>
            <w:r w:rsidRPr="00264463">
              <w:rPr>
                <w:sz w:val="20"/>
                <w:szCs w:val="20"/>
              </w:rPr>
              <w:t>0.0005 (0.0004 – 0.0007) (E11868)</w:t>
            </w:r>
          </w:p>
        </w:tc>
        <w:tc>
          <w:tcPr>
            <w:tcW w:w="2057" w:type="dxa"/>
            <w:shd w:val="clear" w:color="auto" w:fill="FFFFFF"/>
            <w:tcMar>
              <w:top w:w="72" w:type="dxa"/>
              <w:left w:w="144" w:type="dxa"/>
              <w:bottom w:w="72" w:type="dxa"/>
              <w:right w:w="144" w:type="dxa"/>
            </w:tcMar>
            <w:vAlign w:val="center"/>
          </w:tcPr>
          <w:p w14:paraId="76B15BEE" w14:textId="77777777" w:rsidR="00995208" w:rsidRPr="00264463" w:rsidRDefault="00B16E93">
            <w:pPr>
              <w:contextualSpacing w:val="0"/>
              <w:jc w:val="center"/>
              <w:rPr>
                <w:sz w:val="20"/>
                <w:szCs w:val="20"/>
              </w:rPr>
            </w:pPr>
            <w:r w:rsidRPr="00264463">
              <w:rPr>
                <w:sz w:val="20"/>
                <w:szCs w:val="20"/>
              </w:rPr>
              <w:t>58.4 (44.5 – 76.7) (MRID 42245901)</w:t>
            </w:r>
          </w:p>
        </w:tc>
        <w:tc>
          <w:tcPr>
            <w:tcW w:w="3163" w:type="dxa"/>
            <w:shd w:val="clear" w:color="auto" w:fill="FFFFFF"/>
            <w:tcMar>
              <w:top w:w="72" w:type="dxa"/>
              <w:left w:w="144" w:type="dxa"/>
              <w:bottom w:w="72" w:type="dxa"/>
              <w:right w:w="144" w:type="dxa"/>
            </w:tcMar>
            <w:vAlign w:val="center"/>
          </w:tcPr>
          <w:p w14:paraId="0D20A98F" w14:textId="77777777" w:rsidR="00995208" w:rsidRPr="00264463" w:rsidRDefault="00B16E93">
            <w:pPr>
              <w:contextualSpacing w:val="0"/>
              <w:rPr>
                <w:sz w:val="20"/>
                <w:szCs w:val="20"/>
              </w:rPr>
            </w:pPr>
            <w:r w:rsidRPr="00264463">
              <w:rPr>
                <w:sz w:val="20"/>
                <w:szCs w:val="20"/>
              </w:rPr>
              <w:t>Chlorpyrifos is orders of magnitude more toxic than TCP</w:t>
            </w:r>
          </w:p>
        </w:tc>
      </w:tr>
      <w:tr w:rsidR="00995208" w:rsidRPr="00264463" w14:paraId="0BC383C2" w14:textId="77777777" w:rsidTr="004F3D25">
        <w:trPr>
          <w:trHeight w:val="720"/>
          <w:jc w:val="center"/>
        </w:trPr>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84BE6DD" w14:textId="77777777" w:rsidR="00995208" w:rsidRPr="00264463" w:rsidRDefault="00B16E93">
            <w:pPr>
              <w:contextualSpacing w:val="0"/>
              <w:jc w:val="center"/>
              <w:rPr>
                <w:sz w:val="20"/>
                <w:szCs w:val="20"/>
              </w:rPr>
            </w:pPr>
            <w:r w:rsidRPr="00264463">
              <w:rPr>
                <w:sz w:val="20"/>
                <w:szCs w:val="20"/>
              </w:rPr>
              <w:t>Waterflea (</w:t>
            </w:r>
            <w:r w:rsidRPr="00264463">
              <w:rPr>
                <w:i/>
                <w:sz w:val="20"/>
                <w:szCs w:val="20"/>
              </w:rPr>
              <w:t>Daphnia magna</w:t>
            </w:r>
            <w:r w:rsidRPr="00264463">
              <w:rPr>
                <w:sz w:val="20"/>
                <w:szCs w:val="20"/>
              </w:rPr>
              <w:t>)</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2E45053" w14:textId="77777777" w:rsidR="00995208" w:rsidRPr="00264463" w:rsidRDefault="00B16E93">
            <w:pPr>
              <w:contextualSpacing w:val="0"/>
              <w:jc w:val="center"/>
              <w:rPr>
                <w:sz w:val="20"/>
                <w:szCs w:val="20"/>
              </w:rPr>
            </w:pPr>
            <w:r w:rsidRPr="00264463">
              <w:rPr>
                <w:sz w:val="20"/>
                <w:szCs w:val="20"/>
              </w:rPr>
              <w:t>EC</w:t>
            </w:r>
            <w:r w:rsidRPr="00264463">
              <w:rPr>
                <w:sz w:val="20"/>
                <w:szCs w:val="20"/>
                <w:vertAlign w:val="subscript"/>
              </w:rPr>
              <w:t>50</w:t>
            </w:r>
            <w:r w:rsidRPr="00264463">
              <w:rPr>
                <w:sz w:val="20"/>
                <w:szCs w:val="20"/>
              </w:rPr>
              <w:t xml:space="preserve"> (mg a.i./L)</w:t>
            </w:r>
          </w:p>
        </w:tc>
        <w:tc>
          <w:tcPr>
            <w:tcW w:w="185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BEA6827" w14:textId="40384D22" w:rsidR="00995208" w:rsidRPr="00264463" w:rsidRDefault="00B36E5D">
            <w:pPr>
              <w:contextualSpacing w:val="0"/>
              <w:jc w:val="center"/>
              <w:rPr>
                <w:sz w:val="20"/>
                <w:szCs w:val="20"/>
              </w:rPr>
            </w:pPr>
            <w:r>
              <w:rPr>
                <w:sz w:val="20"/>
                <w:szCs w:val="20"/>
              </w:rPr>
              <w:t>0.25 (N</w:t>
            </w:r>
            <w:r w:rsidR="00B16E93" w:rsidRPr="00264463">
              <w:rPr>
                <w:sz w:val="20"/>
                <w:szCs w:val="20"/>
              </w:rPr>
              <w:t>A) (E157799)</w:t>
            </w:r>
          </w:p>
        </w:tc>
        <w:tc>
          <w:tcPr>
            <w:tcW w:w="205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1AAA7E81" w14:textId="77777777" w:rsidR="00995208" w:rsidRPr="00264463" w:rsidRDefault="00B16E93">
            <w:pPr>
              <w:contextualSpacing w:val="0"/>
              <w:jc w:val="center"/>
              <w:rPr>
                <w:sz w:val="20"/>
                <w:szCs w:val="20"/>
              </w:rPr>
            </w:pPr>
            <w:r w:rsidRPr="00264463">
              <w:rPr>
                <w:sz w:val="20"/>
                <w:szCs w:val="20"/>
              </w:rPr>
              <w:t>10.4 (4.9 – 17.9) (MRID 41829005)</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19C3E8B7" w14:textId="77777777" w:rsidR="00995208" w:rsidRPr="00264463" w:rsidRDefault="00B16E93">
            <w:pPr>
              <w:contextualSpacing w:val="0"/>
              <w:rPr>
                <w:sz w:val="20"/>
                <w:szCs w:val="20"/>
              </w:rPr>
            </w:pPr>
            <w:r w:rsidRPr="00264463">
              <w:rPr>
                <w:sz w:val="20"/>
                <w:szCs w:val="20"/>
              </w:rPr>
              <w:t>Chlorpyrifos is ~ 42 times more toxic than TCP</w:t>
            </w:r>
          </w:p>
        </w:tc>
      </w:tr>
      <w:tr w:rsidR="00995208" w:rsidRPr="00264463" w14:paraId="20903A2E" w14:textId="77777777" w:rsidTr="004F3D25">
        <w:trPr>
          <w:trHeight w:val="20"/>
          <w:jc w:val="center"/>
        </w:trPr>
        <w:tc>
          <w:tcPr>
            <w:tcW w:w="1522" w:type="dxa"/>
            <w:shd w:val="clear" w:color="auto" w:fill="FFFFFF"/>
            <w:vAlign w:val="center"/>
          </w:tcPr>
          <w:p w14:paraId="66A263B2" w14:textId="77777777" w:rsidR="00995208" w:rsidRPr="00264463" w:rsidRDefault="00B16E93">
            <w:pPr>
              <w:contextualSpacing w:val="0"/>
              <w:jc w:val="center"/>
              <w:rPr>
                <w:sz w:val="20"/>
                <w:szCs w:val="20"/>
              </w:rPr>
            </w:pPr>
            <w:r w:rsidRPr="00264463">
              <w:rPr>
                <w:sz w:val="20"/>
                <w:szCs w:val="20"/>
              </w:rPr>
              <w:t>Grass shrimp (</w:t>
            </w:r>
            <w:r w:rsidRPr="00264463">
              <w:rPr>
                <w:i/>
                <w:sz w:val="20"/>
                <w:szCs w:val="20"/>
              </w:rPr>
              <w:t>Palaemonetes pugio</w:t>
            </w:r>
            <w:r w:rsidRPr="00264463">
              <w:rPr>
                <w:sz w:val="20"/>
                <w:szCs w:val="20"/>
              </w:rPr>
              <w:t>)</w:t>
            </w:r>
          </w:p>
        </w:tc>
        <w:tc>
          <w:tcPr>
            <w:tcW w:w="1484" w:type="dxa"/>
            <w:shd w:val="clear" w:color="auto" w:fill="FFFFFF"/>
            <w:tcMar>
              <w:top w:w="72" w:type="dxa"/>
              <w:left w:w="144" w:type="dxa"/>
              <w:bottom w:w="72" w:type="dxa"/>
              <w:right w:w="144" w:type="dxa"/>
            </w:tcMar>
            <w:vAlign w:val="center"/>
          </w:tcPr>
          <w:p w14:paraId="7ED782AB" w14:textId="77777777" w:rsidR="00995208" w:rsidRPr="00264463" w:rsidRDefault="00B16E93">
            <w:pPr>
              <w:contextualSpacing w:val="0"/>
              <w:jc w:val="center"/>
              <w:rPr>
                <w:sz w:val="20"/>
                <w:szCs w:val="20"/>
              </w:rPr>
            </w:pPr>
            <w:r w:rsidRPr="00264463">
              <w:rPr>
                <w:sz w:val="20"/>
                <w:szCs w:val="20"/>
              </w:rPr>
              <w:t>LC</w:t>
            </w:r>
            <w:r w:rsidRPr="00264463">
              <w:rPr>
                <w:sz w:val="20"/>
                <w:szCs w:val="20"/>
                <w:vertAlign w:val="subscript"/>
              </w:rPr>
              <w:t>50</w:t>
            </w:r>
          </w:p>
          <w:p w14:paraId="2CBCE69D" w14:textId="77777777" w:rsidR="00995208" w:rsidRPr="00264463" w:rsidRDefault="00B16E93">
            <w:pPr>
              <w:contextualSpacing w:val="0"/>
              <w:jc w:val="center"/>
              <w:rPr>
                <w:sz w:val="20"/>
                <w:szCs w:val="20"/>
              </w:rPr>
            </w:pPr>
            <w:r w:rsidRPr="00264463">
              <w:rPr>
                <w:sz w:val="20"/>
                <w:szCs w:val="20"/>
              </w:rPr>
              <w:t>(mg/a.i./L)</w:t>
            </w:r>
          </w:p>
        </w:tc>
        <w:tc>
          <w:tcPr>
            <w:tcW w:w="1854" w:type="dxa"/>
            <w:shd w:val="clear" w:color="auto" w:fill="FFFFFF"/>
            <w:tcMar>
              <w:top w:w="72" w:type="dxa"/>
              <w:left w:w="144" w:type="dxa"/>
              <w:bottom w:w="72" w:type="dxa"/>
              <w:right w:w="144" w:type="dxa"/>
            </w:tcMar>
            <w:vAlign w:val="center"/>
          </w:tcPr>
          <w:p w14:paraId="65E7DEB0" w14:textId="77777777" w:rsidR="00995208" w:rsidRPr="00264463" w:rsidRDefault="00B16E93">
            <w:pPr>
              <w:contextualSpacing w:val="0"/>
              <w:jc w:val="center"/>
              <w:rPr>
                <w:sz w:val="20"/>
                <w:szCs w:val="20"/>
              </w:rPr>
            </w:pPr>
            <w:r w:rsidRPr="00264463">
              <w:rPr>
                <w:sz w:val="20"/>
                <w:szCs w:val="20"/>
              </w:rPr>
              <w:t>0.00015 (0.00013 – 0.00018) (E92616)</w:t>
            </w:r>
          </w:p>
        </w:tc>
        <w:tc>
          <w:tcPr>
            <w:tcW w:w="2057" w:type="dxa"/>
            <w:shd w:val="clear" w:color="auto" w:fill="FFFFFF"/>
            <w:tcMar>
              <w:top w:w="72" w:type="dxa"/>
              <w:left w:w="144" w:type="dxa"/>
              <w:bottom w:w="72" w:type="dxa"/>
              <w:right w:w="144" w:type="dxa"/>
            </w:tcMar>
            <w:vAlign w:val="center"/>
          </w:tcPr>
          <w:p w14:paraId="0B56F4FC" w14:textId="77777777" w:rsidR="00995208" w:rsidRPr="00264463" w:rsidRDefault="00B16E93">
            <w:pPr>
              <w:contextualSpacing w:val="0"/>
              <w:jc w:val="center"/>
              <w:rPr>
                <w:sz w:val="20"/>
                <w:szCs w:val="20"/>
              </w:rPr>
            </w:pPr>
            <w:r w:rsidRPr="00264463">
              <w:rPr>
                <w:sz w:val="20"/>
                <w:szCs w:val="20"/>
              </w:rPr>
              <w:t>83.0 (71.4 – 97.0) (MRID 42245902)</w:t>
            </w:r>
          </w:p>
        </w:tc>
        <w:tc>
          <w:tcPr>
            <w:tcW w:w="3163" w:type="dxa"/>
            <w:shd w:val="clear" w:color="auto" w:fill="FFFFFF"/>
            <w:tcMar>
              <w:top w:w="72" w:type="dxa"/>
              <w:left w:w="144" w:type="dxa"/>
              <w:bottom w:w="72" w:type="dxa"/>
              <w:right w:w="144" w:type="dxa"/>
            </w:tcMar>
            <w:vAlign w:val="center"/>
          </w:tcPr>
          <w:p w14:paraId="2201225E" w14:textId="77777777" w:rsidR="00995208" w:rsidRPr="00264463" w:rsidRDefault="00B16E93">
            <w:pPr>
              <w:contextualSpacing w:val="0"/>
              <w:rPr>
                <w:sz w:val="20"/>
                <w:szCs w:val="20"/>
              </w:rPr>
            </w:pPr>
            <w:r w:rsidRPr="00264463">
              <w:rPr>
                <w:sz w:val="20"/>
                <w:szCs w:val="20"/>
              </w:rPr>
              <w:t>Chlorpyrifos is orders of magnitude more toxic than TCP</w:t>
            </w:r>
          </w:p>
        </w:tc>
      </w:tr>
      <w:tr w:rsidR="00995208" w:rsidRPr="00264463" w14:paraId="322FCB63" w14:textId="77777777" w:rsidTr="004F3D25">
        <w:trPr>
          <w:trHeight w:val="20"/>
          <w:jc w:val="center"/>
        </w:trPr>
        <w:tc>
          <w:tcPr>
            <w:tcW w:w="1522" w:type="dxa"/>
            <w:shd w:val="clear" w:color="auto" w:fill="FFFFFF"/>
            <w:vAlign w:val="center"/>
          </w:tcPr>
          <w:p w14:paraId="5814BBDE" w14:textId="77777777" w:rsidR="00995208" w:rsidRPr="00264463" w:rsidRDefault="00B16E93">
            <w:pPr>
              <w:contextualSpacing w:val="0"/>
              <w:jc w:val="center"/>
              <w:rPr>
                <w:sz w:val="20"/>
                <w:szCs w:val="20"/>
              </w:rPr>
            </w:pPr>
            <w:r w:rsidRPr="00264463">
              <w:rPr>
                <w:sz w:val="20"/>
                <w:szCs w:val="20"/>
              </w:rPr>
              <w:t>Eastern oyster (</w:t>
            </w:r>
            <w:r w:rsidRPr="00264463">
              <w:rPr>
                <w:i/>
                <w:sz w:val="20"/>
                <w:szCs w:val="20"/>
              </w:rPr>
              <w:t>Crassostrea virginica</w:t>
            </w:r>
            <w:r w:rsidRPr="00264463">
              <w:rPr>
                <w:sz w:val="20"/>
                <w:szCs w:val="20"/>
              </w:rPr>
              <w:t>)</w:t>
            </w:r>
          </w:p>
        </w:tc>
        <w:tc>
          <w:tcPr>
            <w:tcW w:w="1484" w:type="dxa"/>
            <w:shd w:val="clear" w:color="auto" w:fill="FFFFFF"/>
            <w:tcMar>
              <w:top w:w="72" w:type="dxa"/>
              <w:left w:w="144" w:type="dxa"/>
              <w:bottom w:w="72" w:type="dxa"/>
              <w:right w:w="144" w:type="dxa"/>
            </w:tcMar>
            <w:vAlign w:val="center"/>
          </w:tcPr>
          <w:p w14:paraId="2E782697" w14:textId="77777777" w:rsidR="00995208" w:rsidRPr="00264463" w:rsidRDefault="00B16E93">
            <w:pPr>
              <w:contextualSpacing w:val="0"/>
              <w:jc w:val="center"/>
              <w:rPr>
                <w:sz w:val="20"/>
                <w:szCs w:val="20"/>
              </w:rPr>
            </w:pPr>
            <w:r w:rsidRPr="00264463">
              <w:rPr>
                <w:sz w:val="20"/>
                <w:szCs w:val="20"/>
              </w:rPr>
              <w:t>EC</w:t>
            </w:r>
            <w:r w:rsidRPr="00264463">
              <w:rPr>
                <w:sz w:val="20"/>
                <w:szCs w:val="20"/>
                <w:vertAlign w:val="subscript"/>
              </w:rPr>
              <w:t>50</w:t>
            </w:r>
          </w:p>
          <w:p w14:paraId="526D3AC2" w14:textId="77777777" w:rsidR="00995208" w:rsidRPr="00264463" w:rsidRDefault="00B16E93">
            <w:pPr>
              <w:contextualSpacing w:val="0"/>
              <w:jc w:val="center"/>
              <w:rPr>
                <w:sz w:val="20"/>
                <w:szCs w:val="20"/>
              </w:rPr>
            </w:pPr>
            <w:r w:rsidRPr="00264463">
              <w:rPr>
                <w:sz w:val="20"/>
                <w:szCs w:val="20"/>
              </w:rPr>
              <w:t>(shell deposition) (mg/a.i./L)</w:t>
            </w:r>
          </w:p>
        </w:tc>
        <w:tc>
          <w:tcPr>
            <w:tcW w:w="1854" w:type="dxa"/>
            <w:shd w:val="clear" w:color="auto" w:fill="FFFFFF"/>
            <w:tcMar>
              <w:top w:w="72" w:type="dxa"/>
              <w:left w:w="144" w:type="dxa"/>
              <w:bottom w:w="72" w:type="dxa"/>
              <w:right w:w="144" w:type="dxa"/>
            </w:tcMar>
            <w:vAlign w:val="center"/>
          </w:tcPr>
          <w:p w14:paraId="4373FE64" w14:textId="1B8B01CA" w:rsidR="00995208" w:rsidRPr="00264463" w:rsidRDefault="00B16E93">
            <w:pPr>
              <w:contextualSpacing w:val="0"/>
              <w:jc w:val="center"/>
              <w:rPr>
                <w:sz w:val="20"/>
                <w:szCs w:val="20"/>
              </w:rPr>
            </w:pPr>
            <w:r w:rsidRPr="00264463">
              <w:rPr>
                <w:sz w:val="20"/>
                <w:szCs w:val="20"/>
              </w:rPr>
              <w:t xml:space="preserve">0.032 </w:t>
            </w:r>
            <w:r w:rsidR="00E70402">
              <w:rPr>
                <w:sz w:val="20"/>
                <w:szCs w:val="20"/>
              </w:rPr>
              <w:t>(NA</w:t>
            </w:r>
            <w:r w:rsidRPr="00264463">
              <w:rPr>
                <w:sz w:val="20"/>
                <w:szCs w:val="20"/>
              </w:rPr>
              <w:t>) (MRID 40228401)</w:t>
            </w:r>
          </w:p>
        </w:tc>
        <w:tc>
          <w:tcPr>
            <w:tcW w:w="2057" w:type="dxa"/>
            <w:shd w:val="clear" w:color="auto" w:fill="FFFFFF"/>
            <w:tcMar>
              <w:top w:w="72" w:type="dxa"/>
              <w:left w:w="144" w:type="dxa"/>
              <w:bottom w:w="72" w:type="dxa"/>
              <w:right w:w="144" w:type="dxa"/>
            </w:tcMar>
            <w:vAlign w:val="center"/>
          </w:tcPr>
          <w:p w14:paraId="53F31AF8" w14:textId="77777777" w:rsidR="00995208" w:rsidRPr="00264463" w:rsidRDefault="00B16E93">
            <w:pPr>
              <w:contextualSpacing w:val="0"/>
              <w:jc w:val="center"/>
              <w:rPr>
                <w:sz w:val="20"/>
                <w:szCs w:val="20"/>
              </w:rPr>
            </w:pPr>
            <w:r w:rsidRPr="00264463">
              <w:rPr>
                <w:sz w:val="20"/>
                <w:szCs w:val="20"/>
              </w:rPr>
              <w:t>9.3 (3.6 – 24.2) (MRID 42245903)</w:t>
            </w:r>
          </w:p>
        </w:tc>
        <w:tc>
          <w:tcPr>
            <w:tcW w:w="3163" w:type="dxa"/>
            <w:shd w:val="clear" w:color="auto" w:fill="FFFFFF"/>
            <w:tcMar>
              <w:top w:w="72" w:type="dxa"/>
              <w:left w:w="144" w:type="dxa"/>
              <w:bottom w:w="72" w:type="dxa"/>
              <w:right w:w="144" w:type="dxa"/>
            </w:tcMar>
            <w:vAlign w:val="center"/>
          </w:tcPr>
          <w:p w14:paraId="305E715D" w14:textId="77777777" w:rsidR="00995208" w:rsidRPr="00264463" w:rsidRDefault="00B16E93">
            <w:pPr>
              <w:contextualSpacing w:val="0"/>
              <w:rPr>
                <w:sz w:val="20"/>
                <w:szCs w:val="20"/>
              </w:rPr>
            </w:pPr>
            <w:r w:rsidRPr="00264463">
              <w:rPr>
                <w:sz w:val="20"/>
                <w:szCs w:val="20"/>
              </w:rPr>
              <w:t>Chlorpyrifos is orders of magnitude more toxic than TCP</w:t>
            </w:r>
          </w:p>
        </w:tc>
      </w:tr>
      <w:tr w:rsidR="00995208" w:rsidRPr="00264463" w14:paraId="5724B6E7" w14:textId="77777777" w:rsidTr="004F3D25">
        <w:trPr>
          <w:trHeight w:val="20"/>
          <w:jc w:val="center"/>
        </w:trPr>
        <w:tc>
          <w:tcPr>
            <w:tcW w:w="1522" w:type="dxa"/>
            <w:shd w:val="clear" w:color="auto" w:fill="FFFFFF"/>
            <w:vAlign w:val="center"/>
          </w:tcPr>
          <w:p w14:paraId="6E9A5D31" w14:textId="77777777" w:rsidR="00995208" w:rsidRPr="00264463" w:rsidRDefault="00B16E93">
            <w:pPr>
              <w:contextualSpacing w:val="0"/>
              <w:jc w:val="center"/>
              <w:rPr>
                <w:sz w:val="20"/>
                <w:szCs w:val="20"/>
              </w:rPr>
            </w:pPr>
            <w:r w:rsidRPr="00264463">
              <w:rPr>
                <w:sz w:val="20"/>
                <w:szCs w:val="20"/>
              </w:rPr>
              <w:t>Mosquito larvae (</w:t>
            </w:r>
            <w:r w:rsidRPr="00264463">
              <w:rPr>
                <w:i/>
                <w:sz w:val="20"/>
                <w:szCs w:val="20"/>
              </w:rPr>
              <w:t>Aedes aegypti</w:t>
            </w:r>
            <w:r w:rsidRPr="00264463">
              <w:rPr>
                <w:sz w:val="20"/>
                <w:szCs w:val="20"/>
              </w:rPr>
              <w:t>)</w:t>
            </w:r>
          </w:p>
        </w:tc>
        <w:tc>
          <w:tcPr>
            <w:tcW w:w="1484" w:type="dxa"/>
            <w:shd w:val="clear" w:color="auto" w:fill="FFFFFF"/>
            <w:tcMar>
              <w:top w:w="72" w:type="dxa"/>
              <w:left w:w="144" w:type="dxa"/>
              <w:bottom w:w="72" w:type="dxa"/>
              <w:right w:w="144" w:type="dxa"/>
            </w:tcMar>
            <w:vAlign w:val="center"/>
          </w:tcPr>
          <w:p w14:paraId="32F624E7" w14:textId="77777777" w:rsidR="00995208" w:rsidRPr="00264463" w:rsidRDefault="00B16E93">
            <w:pPr>
              <w:contextualSpacing w:val="0"/>
              <w:jc w:val="center"/>
              <w:rPr>
                <w:sz w:val="20"/>
                <w:szCs w:val="20"/>
              </w:rPr>
            </w:pPr>
            <w:r w:rsidRPr="00264463">
              <w:rPr>
                <w:sz w:val="20"/>
                <w:szCs w:val="20"/>
              </w:rPr>
              <w:t>LD</w:t>
            </w:r>
            <w:r w:rsidRPr="00264463">
              <w:rPr>
                <w:sz w:val="20"/>
                <w:szCs w:val="20"/>
                <w:vertAlign w:val="subscript"/>
              </w:rPr>
              <w:t>50</w:t>
            </w:r>
            <w:r w:rsidRPr="00264463">
              <w:rPr>
                <w:sz w:val="20"/>
                <w:szCs w:val="20"/>
              </w:rPr>
              <w:t xml:space="preserve"> (mg a.i./L)</w:t>
            </w:r>
          </w:p>
        </w:tc>
        <w:tc>
          <w:tcPr>
            <w:tcW w:w="1854" w:type="dxa"/>
            <w:shd w:val="clear" w:color="auto" w:fill="FFFFFF"/>
            <w:tcMar>
              <w:top w:w="72" w:type="dxa"/>
              <w:left w:w="144" w:type="dxa"/>
              <w:bottom w:w="72" w:type="dxa"/>
              <w:right w:w="144" w:type="dxa"/>
            </w:tcMar>
            <w:vAlign w:val="center"/>
          </w:tcPr>
          <w:p w14:paraId="27F26E63" w14:textId="77777777" w:rsidR="00995208" w:rsidRPr="00264463" w:rsidRDefault="00B16E93">
            <w:pPr>
              <w:contextualSpacing w:val="0"/>
              <w:jc w:val="center"/>
              <w:rPr>
                <w:sz w:val="20"/>
                <w:szCs w:val="20"/>
              </w:rPr>
            </w:pPr>
            <w:r w:rsidRPr="00264463">
              <w:rPr>
                <w:sz w:val="20"/>
                <w:szCs w:val="20"/>
              </w:rPr>
              <w:t>0.0017 (0.0063 – 0.0082) (MRID 00228759)</w:t>
            </w:r>
          </w:p>
        </w:tc>
        <w:tc>
          <w:tcPr>
            <w:tcW w:w="2057" w:type="dxa"/>
            <w:shd w:val="clear" w:color="auto" w:fill="FFFFFF"/>
            <w:tcMar>
              <w:top w:w="72" w:type="dxa"/>
              <w:left w:w="144" w:type="dxa"/>
              <w:bottom w:w="72" w:type="dxa"/>
              <w:right w:w="144" w:type="dxa"/>
            </w:tcMar>
            <w:vAlign w:val="center"/>
          </w:tcPr>
          <w:p w14:paraId="1A8195D9" w14:textId="77777777" w:rsidR="00995208" w:rsidRPr="00264463" w:rsidRDefault="00B16E93">
            <w:pPr>
              <w:contextualSpacing w:val="0"/>
              <w:jc w:val="center"/>
              <w:rPr>
                <w:sz w:val="20"/>
                <w:szCs w:val="20"/>
              </w:rPr>
            </w:pPr>
            <w:r w:rsidRPr="00264463">
              <w:rPr>
                <w:sz w:val="20"/>
                <w:szCs w:val="20"/>
              </w:rPr>
              <w:t>45.8 (40.2 – 51.7) (MRID 00228759)</w:t>
            </w:r>
          </w:p>
        </w:tc>
        <w:tc>
          <w:tcPr>
            <w:tcW w:w="3163" w:type="dxa"/>
            <w:shd w:val="clear" w:color="auto" w:fill="FFFFFF"/>
            <w:tcMar>
              <w:top w:w="72" w:type="dxa"/>
              <w:left w:w="144" w:type="dxa"/>
              <w:bottom w:w="72" w:type="dxa"/>
              <w:right w:w="144" w:type="dxa"/>
            </w:tcMar>
            <w:vAlign w:val="center"/>
          </w:tcPr>
          <w:p w14:paraId="785E5D0D" w14:textId="77777777" w:rsidR="00995208" w:rsidRPr="00264463" w:rsidRDefault="00B16E93">
            <w:pPr>
              <w:contextualSpacing w:val="0"/>
              <w:rPr>
                <w:sz w:val="20"/>
                <w:szCs w:val="20"/>
              </w:rPr>
            </w:pPr>
            <w:r w:rsidRPr="00264463">
              <w:rPr>
                <w:sz w:val="20"/>
                <w:szCs w:val="20"/>
              </w:rPr>
              <w:t>Chlorpyrifos is orders of magnitude more toxic than TCP</w:t>
            </w:r>
          </w:p>
        </w:tc>
      </w:tr>
      <w:tr w:rsidR="00F363DD" w:rsidRPr="00264463" w14:paraId="4ECCA81E" w14:textId="77777777" w:rsidTr="004F3D25">
        <w:trPr>
          <w:trHeight w:val="20"/>
          <w:jc w:val="center"/>
        </w:trPr>
        <w:tc>
          <w:tcPr>
            <w:tcW w:w="1522" w:type="dxa"/>
            <w:vMerge w:val="restart"/>
            <w:shd w:val="clear" w:color="auto" w:fill="FFFFFF"/>
            <w:vAlign w:val="center"/>
          </w:tcPr>
          <w:p w14:paraId="3689AD6F" w14:textId="77777777" w:rsidR="00F363DD" w:rsidRPr="00264463" w:rsidRDefault="00F363DD">
            <w:pPr>
              <w:contextualSpacing w:val="0"/>
              <w:jc w:val="center"/>
              <w:rPr>
                <w:sz w:val="20"/>
                <w:szCs w:val="20"/>
              </w:rPr>
            </w:pPr>
            <w:r w:rsidRPr="00264463">
              <w:rPr>
                <w:sz w:val="20"/>
                <w:szCs w:val="20"/>
              </w:rPr>
              <w:lastRenderedPageBreak/>
              <w:t>Non-vascular aquatic plant</w:t>
            </w:r>
          </w:p>
        </w:tc>
        <w:tc>
          <w:tcPr>
            <w:tcW w:w="1484" w:type="dxa"/>
            <w:vMerge w:val="restart"/>
            <w:shd w:val="clear" w:color="auto" w:fill="FFFFFF"/>
            <w:tcMar>
              <w:top w:w="72" w:type="dxa"/>
              <w:left w:w="144" w:type="dxa"/>
              <w:bottom w:w="72" w:type="dxa"/>
              <w:right w:w="144" w:type="dxa"/>
            </w:tcMar>
            <w:vAlign w:val="center"/>
          </w:tcPr>
          <w:p w14:paraId="3B59FC49" w14:textId="06304102" w:rsidR="00F363DD" w:rsidRPr="00264463" w:rsidRDefault="00F363DD" w:rsidP="00F363DD">
            <w:pPr>
              <w:contextualSpacing w:val="0"/>
              <w:jc w:val="center"/>
              <w:rPr>
                <w:sz w:val="20"/>
                <w:szCs w:val="20"/>
              </w:rPr>
            </w:pPr>
            <w:r w:rsidRPr="00264463">
              <w:rPr>
                <w:sz w:val="20"/>
                <w:szCs w:val="20"/>
              </w:rPr>
              <w:t>EC</w:t>
            </w:r>
            <w:r w:rsidRPr="00264463">
              <w:rPr>
                <w:sz w:val="20"/>
                <w:szCs w:val="20"/>
                <w:vertAlign w:val="subscript"/>
              </w:rPr>
              <w:t>50</w:t>
            </w:r>
            <w:r w:rsidRPr="00264463">
              <w:rPr>
                <w:sz w:val="20"/>
                <w:szCs w:val="20"/>
              </w:rPr>
              <w:t xml:space="preserve"> (cell density) (mg a.i./L)</w:t>
            </w:r>
          </w:p>
          <w:p w14:paraId="5ACF5C48" w14:textId="77777777" w:rsidR="00F363DD" w:rsidRPr="00264463" w:rsidRDefault="00F363DD" w:rsidP="003F6FED">
            <w:pPr>
              <w:jc w:val="center"/>
              <w:rPr>
                <w:sz w:val="20"/>
                <w:szCs w:val="20"/>
              </w:rPr>
            </w:pPr>
          </w:p>
        </w:tc>
        <w:tc>
          <w:tcPr>
            <w:tcW w:w="1854" w:type="dxa"/>
            <w:shd w:val="clear" w:color="auto" w:fill="FFFFFF"/>
            <w:tcMar>
              <w:top w:w="72" w:type="dxa"/>
              <w:left w:w="144" w:type="dxa"/>
              <w:bottom w:w="72" w:type="dxa"/>
              <w:right w:w="144" w:type="dxa"/>
            </w:tcMar>
            <w:vAlign w:val="center"/>
          </w:tcPr>
          <w:p w14:paraId="601411A4" w14:textId="0905DA53" w:rsidR="00F363DD" w:rsidRPr="00264463" w:rsidRDefault="00B36E5D">
            <w:pPr>
              <w:contextualSpacing w:val="0"/>
              <w:jc w:val="center"/>
              <w:rPr>
                <w:sz w:val="20"/>
                <w:szCs w:val="20"/>
              </w:rPr>
            </w:pPr>
            <w:r>
              <w:rPr>
                <w:sz w:val="20"/>
                <w:szCs w:val="20"/>
              </w:rPr>
              <w:t>0.140 (N</w:t>
            </w:r>
            <w:r w:rsidR="00F363DD" w:rsidRPr="00264463">
              <w:rPr>
                <w:sz w:val="20"/>
                <w:szCs w:val="20"/>
              </w:rPr>
              <w:t>A) (</w:t>
            </w:r>
            <w:r w:rsidR="00F363DD" w:rsidRPr="00264463">
              <w:rPr>
                <w:i/>
                <w:sz w:val="20"/>
                <w:szCs w:val="20"/>
              </w:rPr>
              <w:t>Isochysis galbana</w:t>
            </w:r>
            <w:r w:rsidR="00F363DD" w:rsidRPr="00264463">
              <w:rPr>
                <w:sz w:val="20"/>
                <w:szCs w:val="20"/>
              </w:rPr>
              <w:t>) (MRID 40228401)</w:t>
            </w:r>
          </w:p>
        </w:tc>
        <w:tc>
          <w:tcPr>
            <w:tcW w:w="2057" w:type="dxa"/>
            <w:shd w:val="clear" w:color="auto" w:fill="FFFFFF"/>
            <w:tcMar>
              <w:top w:w="72" w:type="dxa"/>
              <w:left w:w="144" w:type="dxa"/>
              <w:bottom w:w="72" w:type="dxa"/>
              <w:right w:w="144" w:type="dxa"/>
            </w:tcMar>
            <w:vAlign w:val="center"/>
          </w:tcPr>
          <w:p w14:paraId="7CF5B876" w14:textId="77777777" w:rsidR="00F363DD" w:rsidRPr="00264463" w:rsidRDefault="00F363DD">
            <w:pPr>
              <w:contextualSpacing w:val="0"/>
              <w:jc w:val="center"/>
              <w:rPr>
                <w:sz w:val="20"/>
                <w:szCs w:val="20"/>
              </w:rPr>
            </w:pPr>
            <w:r w:rsidRPr="00264463">
              <w:rPr>
                <w:sz w:val="20"/>
                <w:szCs w:val="20"/>
              </w:rPr>
              <w:t>2.9 (2.2 – 3.8) (</w:t>
            </w:r>
            <w:r w:rsidRPr="00264463">
              <w:rPr>
                <w:i/>
                <w:sz w:val="20"/>
                <w:szCs w:val="20"/>
              </w:rPr>
              <w:t>Selenastrum capricornutum)</w:t>
            </w:r>
            <w:r w:rsidRPr="00264463">
              <w:rPr>
                <w:sz w:val="20"/>
                <w:szCs w:val="20"/>
              </w:rPr>
              <w:t xml:space="preserve"> (MRID 45312001)</w:t>
            </w:r>
          </w:p>
        </w:tc>
        <w:tc>
          <w:tcPr>
            <w:tcW w:w="3163" w:type="dxa"/>
            <w:vMerge w:val="restart"/>
            <w:shd w:val="clear" w:color="auto" w:fill="FFFFFF"/>
            <w:tcMar>
              <w:top w:w="72" w:type="dxa"/>
              <w:left w:w="144" w:type="dxa"/>
              <w:bottom w:w="72" w:type="dxa"/>
              <w:right w:w="144" w:type="dxa"/>
            </w:tcMar>
            <w:vAlign w:val="center"/>
          </w:tcPr>
          <w:p w14:paraId="6CE8EB73" w14:textId="77777777" w:rsidR="00F363DD" w:rsidRPr="00264463" w:rsidRDefault="00F363DD">
            <w:pPr>
              <w:contextualSpacing w:val="0"/>
              <w:rPr>
                <w:sz w:val="20"/>
                <w:szCs w:val="20"/>
              </w:rPr>
            </w:pPr>
            <w:r w:rsidRPr="00264463">
              <w:rPr>
                <w:sz w:val="20"/>
                <w:szCs w:val="20"/>
              </w:rPr>
              <w:t>Chlorpyrifos is ~ 14 times more toxic than TCP</w:t>
            </w:r>
          </w:p>
          <w:p w14:paraId="3E9D9C1B" w14:textId="77777777" w:rsidR="00F363DD" w:rsidRPr="00264463" w:rsidRDefault="00F363DD">
            <w:pPr>
              <w:widowControl w:val="0"/>
              <w:spacing w:line="276" w:lineRule="auto"/>
              <w:contextualSpacing w:val="0"/>
              <w:rPr>
                <w:sz w:val="20"/>
                <w:szCs w:val="20"/>
              </w:rPr>
            </w:pPr>
          </w:p>
          <w:p w14:paraId="3F7A7F11" w14:textId="77777777" w:rsidR="00F363DD" w:rsidRPr="00264463" w:rsidRDefault="00F363DD">
            <w:pPr>
              <w:contextualSpacing w:val="0"/>
              <w:jc w:val="center"/>
              <w:rPr>
                <w:sz w:val="20"/>
                <w:szCs w:val="20"/>
              </w:rPr>
            </w:pPr>
          </w:p>
          <w:p w14:paraId="79B278AE" w14:textId="77777777" w:rsidR="00F363DD" w:rsidRPr="00264463" w:rsidRDefault="00F363DD" w:rsidP="000A670B">
            <w:pPr>
              <w:rPr>
                <w:sz w:val="20"/>
                <w:szCs w:val="20"/>
              </w:rPr>
            </w:pPr>
          </w:p>
        </w:tc>
      </w:tr>
      <w:tr w:rsidR="00F363DD" w:rsidRPr="00264463" w14:paraId="36562FE8" w14:textId="77777777" w:rsidTr="004F3D25">
        <w:trPr>
          <w:trHeight w:val="480"/>
          <w:jc w:val="center"/>
        </w:trPr>
        <w:tc>
          <w:tcPr>
            <w:tcW w:w="1522" w:type="dxa"/>
            <w:vMerge/>
            <w:shd w:val="clear" w:color="auto" w:fill="FFFFFF"/>
            <w:vAlign w:val="center"/>
          </w:tcPr>
          <w:p w14:paraId="1C5A58F3" w14:textId="77777777" w:rsidR="00F363DD" w:rsidRPr="00264463" w:rsidRDefault="00F363DD">
            <w:pPr>
              <w:widowControl w:val="0"/>
              <w:spacing w:line="276" w:lineRule="auto"/>
              <w:contextualSpacing w:val="0"/>
              <w:rPr>
                <w:sz w:val="20"/>
                <w:szCs w:val="20"/>
              </w:rPr>
            </w:pPr>
          </w:p>
        </w:tc>
        <w:tc>
          <w:tcPr>
            <w:tcW w:w="1484" w:type="dxa"/>
            <w:vMerge/>
            <w:shd w:val="clear" w:color="auto" w:fill="FFFFFF"/>
            <w:tcMar>
              <w:top w:w="72" w:type="dxa"/>
              <w:left w:w="144" w:type="dxa"/>
              <w:bottom w:w="72" w:type="dxa"/>
              <w:right w:w="144" w:type="dxa"/>
            </w:tcMar>
            <w:vAlign w:val="center"/>
          </w:tcPr>
          <w:p w14:paraId="404B3234" w14:textId="77777777" w:rsidR="00F363DD" w:rsidRPr="00264463" w:rsidRDefault="00F363DD" w:rsidP="003F6FED">
            <w:pPr>
              <w:jc w:val="center"/>
              <w:rPr>
                <w:sz w:val="20"/>
                <w:szCs w:val="20"/>
              </w:rPr>
            </w:pPr>
          </w:p>
        </w:tc>
        <w:tc>
          <w:tcPr>
            <w:tcW w:w="1854" w:type="dxa"/>
            <w:shd w:val="clear" w:color="auto" w:fill="FFFFFF"/>
            <w:tcMar>
              <w:top w:w="72" w:type="dxa"/>
              <w:left w:w="144" w:type="dxa"/>
              <w:bottom w:w="72" w:type="dxa"/>
              <w:right w:w="144" w:type="dxa"/>
            </w:tcMar>
            <w:vAlign w:val="center"/>
          </w:tcPr>
          <w:p w14:paraId="1FD1D5A0" w14:textId="77777777" w:rsidR="00F363DD" w:rsidRPr="00264463" w:rsidRDefault="00F363DD">
            <w:pPr>
              <w:contextualSpacing w:val="0"/>
              <w:jc w:val="center"/>
              <w:rPr>
                <w:sz w:val="20"/>
                <w:szCs w:val="20"/>
              </w:rPr>
            </w:pPr>
            <w:r w:rsidRPr="00264463">
              <w:rPr>
                <w:sz w:val="20"/>
                <w:szCs w:val="20"/>
              </w:rPr>
              <w:t>0.300 (0.270 – 0.340) (</w:t>
            </w:r>
            <w:r w:rsidRPr="00264463">
              <w:rPr>
                <w:i/>
                <w:sz w:val="20"/>
                <w:szCs w:val="20"/>
              </w:rPr>
              <w:t>Skeletonema costatum</w:t>
            </w:r>
            <w:r w:rsidRPr="00264463">
              <w:rPr>
                <w:sz w:val="20"/>
                <w:szCs w:val="20"/>
              </w:rPr>
              <w:t>) (MRID 40228401)</w:t>
            </w:r>
          </w:p>
        </w:tc>
        <w:tc>
          <w:tcPr>
            <w:tcW w:w="2057" w:type="dxa"/>
            <w:vMerge w:val="restart"/>
            <w:shd w:val="clear" w:color="auto" w:fill="FFFFFF"/>
            <w:tcMar>
              <w:top w:w="72" w:type="dxa"/>
              <w:left w:w="144" w:type="dxa"/>
              <w:bottom w:w="72" w:type="dxa"/>
              <w:right w:w="144" w:type="dxa"/>
            </w:tcMar>
            <w:vAlign w:val="center"/>
          </w:tcPr>
          <w:p w14:paraId="4FFD21B5" w14:textId="77777777" w:rsidR="00F363DD" w:rsidRPr="00264463" w:rsidRDefault="00F363DD">
            <w:pPr>
              <w:contextualSpacing w:val="0"/>
              <w:jc w:val="center"/>
              <w:rPr>
                <w:sz w:val="20"/>
                <w:szCs w:val="20"/>
              </w:rPr>
            </w:pPr>
            <w:r w:rsidRPr="00264463">
              <w:rPr>
                <w:sz w:val="20"/>
                <w:szCs w:val="20"/>
              </w:rPr>
              <w:t>2.0 (0.45 – 8.6) (</w:t>
            </w:r>
            <w:r w:rsidRPr="00264463">
              <w:rPr>
                <w:i/>
                <w:sz w:val="20"/>
                <w:szCs w:val="20"/>
              </w:rPr>
              <w:t>Anabaena flos-aquae</w:t>
            </w:r>
            <w:r w:rsidRPr="00264463">
              <w:rPr>
                <w:sz w:val="20"/>
                <w:szCs w:val="20"/>
              </w:rPr>
              <w:t>) (MRID 45312003)</w:t>
            </w:r>
          </w:p>
        </w:tc>
        <w:tc>
          <w:tcPr>
            <w:tcW w:w="3163" w:type="dxa"/>
            <w:vMerge/>
            <w:shd w:val="clear" w:color="auto" w:fill="FFFFFF"/>
            <w:tcMar>
              <w:top w:w="72" w:type="dxa"/>
              <w:left w:w="144" w:type="dxa"/>
              <w:bottom w:w="72" w:type="dxa"/>
              <w:right w:w="144" w:type="dxa"/>
            </w:tcMar>
            <w:vAlign w:val="center"/>
          </w:tcPr>
          <w:p w14:paraId="3D02FAA4" w14:textId="77777777" w:rsidR="00F363DD" w:rsidRPr="00264463" w:rsidRDefault="00F363DD" w:rsidP="000A670B">
            <w:pPr>
              <w:rPr>
                <w:sz w:val="20"/>
                <w:szCs w:val="20"/>
              </w:rPr>
            </w:pPr>
          </w:p>
        </w:tc>
      </w:tr>
      <w:tr w:rsidR="00F363DD" w:rsidRPr="00264463" w14:paraId="7CD9BDD1" w14:textId="77777777" w:rsidTr="004F3D25">
        <w:trPr>
          <w:trHeight w:val="480"/>
          <w:jc w:val="center"/>
        </w:trPr>
        <w:tc>
          <w:tcPr>
            <w:tcW w:w="1522" w:type="dxa"/>
            <w:vMerge/>
            <w:shd w:val="clear" w:color="auto" w:fill="FFFFFF"/>
            <w:vAlign w:val="center"/>
          </w:tcPr>
          <w:p w14:paraId="2378B851" w14:textId="77777777" w:rsidR="00F363DD" w:rsidRPr="00264463" w:rsidRDefault="00F363DD">
            <w:pPr>
              <w:widowControl w:val="0"/>
              <w:spacing w:line="276" w:lineRule="auto"/>
              <w:contextualSpacing w:val="0"/>
              <w:rPr>
                <w:sz w:val="20"/>
                <w:szCs w:val="20"/>
              </w:rPr>
            </w:pPr>
          </w:p>
        </w:tc>
        <w:tc>
          <w:tcPr>
            <w:tcW w:w="1484" w:type="dxa"/>
            <w:vMerge/>
            <w:shd w:val="clear" w:color="auto" w:fill="FFFFFF"/>
            <w:tcMar>
              <w:top w:w="72" w:type="dxa"/>
              <w:left w:w="144" w:type="dxa"/>
              <w:bottom w:w="72" w:type="dxa"/>
              <w:right w:w="144" w:type="dxa"/>
            </w:tcMar>
            <w:vAlign w:val="center"/>
          </w:tcPr>
          <w:p w14:paraId="7F13FCAB" w14:textId="77777777" w:rsidR="00F363DD" w:rsidRPr="00264463" w:rsidRDefault="00F363DD">
            <w:pPr>
              <w:contextualSpacing w:val="0"/>
              <w:jc w:val="center"/>
              <w:rPr>
                <w:sz w:val="20"/>
                <w:szCs w:val="20"/>
              </w:rPr>
            </w:pPr>
          </w:p>
        </w:tc>
        <w:tc>
          <w:tcPr>
            <w:tcW w:w="1854" w:type="dxa"/>
            <w:shd w:val="clear" w:color="auto" w:fill="FFFFFF"/>
            <w:tcMar>
              <w:top w:w="72" w:type="dxa"/>
              <w:left w:w="144" w:type="dxa"/>
              <w:bottom w:w="72" w:type="dxa"/>
              <w:right w:w="144" w:type="dxa"/>
            </w:tcMar>
            <w:vAlign w:val="center"/>
          </w:tcPr>
          <w:p w14:paraId="3CD1256E" w14:textId="77777777" w:rsidR="00F363DD" w:rsidRPr="00264463" w:rsidRDefault="00F363DD">
            <w:pPr>
              <w:contextualSpacing w:val="0"/>
              <w:jc w:val="center"/>
              <w:rPr>
                <w:sz w:val="20"/>
                <w:szCs w:val="20"/>
              </w:rPr>
            </w:pPr>
            <w:r w:rsidRPr="00264463">
              <w:rPr>
                <w:sz w:val="20"/>
                <w:szCs w:val="20"/>
              </w:rPr>
              <w:t>0.150 (0.120 – 0.180) (</w:t>
            </w:r>
            <w:r w:rsidRPr="00264463">
              <w:rPr>
                <w:i/>
                <w:sz w:val="20"/>
                <w:szCs w:val="20"/>
              </w:rPr>
              <w:t>Thalassiosira pseudonana</w:t>
            </w:r>
            <w:r w:rsidRPr="00264463">
              <w:rPr>
                <w:sz w:val="20"/>
                <w:szCs w:val="20"/>
              </w:rPr>
              <w:t>) (MRID 40228401)</w:t>
            </w:r>
          </w:p>
        </w:tc>
        <w:tc>
          <w:tcPr>
            <w:tcW w:w="2057" w:type="dxa"/>
            <w:vMerge/>
            <w:shd w:val="clear" w:color="auto" w:fill="FFFFFF"/>
            <w:tcMar>
              <w:top w:w="72" w:type="dxa"/>
              <w:left w:w="144" w:type="dxa"/>
              <w:bottom w:w="72" w:type="dxa"/>
              <w:right w:w="144" w:type="dxa"/>
            </w:tcMar>
            <w:vAlign w:val="center"/>
          </w:tcPr>
          <w:p w14:paraId="3E95C9CC" w14:textId="77777777" w:rsidR="00F363DD" w:rsidRPr="00264463" w:rsidRDefault="00F363DD">
            <w:pPr>
              <w:widowControl w:val="0"/>
              <w:spacing w:line="276" w:lineRule="auto"/>
              <w:contextualSpacing w:val="0"/>
              <w:rPr>
                <w:sz w:val="20"/>
                <w:szCs w:val="20"/>
              </w:rPr>
            </w:pPr>
          </w:p>
        </w:tc>
        <w:tc>
          <w:tcPr>
            <w:tcW w:w="3163" w:type="dxa"/>
            <w:vMerge/>
            <w:shd w:val="clear" w:color="auto" w:fill="FFFFFF"/>
            <w:tcMar>
              <w:top w:w="72" w:type="dxa"/>
              <w:left w:w="144" w:type="dxa"/>
              <w:bottom w:w="72" w:type="dxa"/>
              <w:right w:w="144" w:type="dxa"/>
            </w:tcMar>
            <w:vAlign w:val="center"/>
          </w:tcPr>
          <w:p w14:paraId="0D4DCDB8" w14:textId="77777777" w:rsidR="00F363DD" w:rsidRPr="00264463" w:rsidRDefault="00F363DD">
            <w:pPr>
              <w:contextualSpacing w:val="0"/>
              <w:rPr>
                <w:sz w:val="20"/>
                <w:szCs w:val="20"/>
              </w:rPr>
            </w:pPr>
          </w:p>
        </w:tc>
      </w:tr>
      <w:tr w:rsidR="00995208" w:rsidRPr="00264463" w14:paraId="75C602E6" w14:textId="77777777" w:rsidTr="004F3D25">
        <w:trPr>
          <w:trHeight w:val="20"/>
          <w:jc w:val="center"/>
        </w:trPr>
        <w:tc>
          <w:tcPr>
            <w:tcW w:w="1522" w:type="dxa"/>
            <w:shd w:val="clear" w:color="auto" w:fill="FFFFFF"/>
            <w:vAlign w:val="center"/>
          </w:tcPr>
          <w:p w14:paraId="4854010C" w14:textId="77777777" w:rsidR="00995208" w:rsidRPr="00264463" w:rsidRDefault="00B16E93">
            <w:pPr>
              <w:contextualSpacing w:val="0"/>
              <w:jc w:val="center"/>
              <w:rPr>
                <w:sz w:val="20"/>
                <w:szCs w:val="20"/>
              </w:rPr>
            </w:pPr>
            <w:r w:rsidRPr="00264463">
              <w:rPr>
                <w:sz w:val="20"/>
                <w:szCs w:val="20"/>
              </w:rPr>
              <w:t>Vascular aquatic plant</w:t>
            </w:r>
          </w:p>
        </w:tc>
        <w:tc>
          <w:tcPr>
            <w:tcW w:w="1484" w:type="dxa"/>
            <w:shd w:val="clear" w:color="auto" w:fill="FFFFFF"/>
            <w:tcMar>
              <w:top w:w="72" w:type="dxa"/>
              <w:left w:w="144" w:type="dxa"/>
              <w:bottom w:w="72" w:type="dxa"/>
              <w:right w:w="144" w:type="dxa"/>
            </w:tcMar>
            <w:vAlign w:val="center"/>
          </w:tcPr>
          <w:p w14:paraId="59B90898" w14:textId="77777777" w:rsidR="00995208" w:rsidRPr="00264463" w:rsidRDefault="00B16E93">
            <w:pPr>
              <w:contextualSpacing w:val="0"/>
              <w:jc w:val="center"/>
              <w:rPr>
                <w:sz w:val="20"/>
                <w:szCs w:val="20"/>
              </w:rPr>
            </w:pPr>
            <w:r w:rsidRPr="00264463">
              <w:rPr>
                <w:sz w:val="20"/>
                <w:szCs w:val="20"/>
              </w:rPr>
              <w:t>NOAEC/LOAEC (mg a.i./L)</w:t>
            </w:r>
          </w:p>
        </w:tc>
        <w:tc>
          <w:tcPr>
            <w:tcW w:w="1854" w:type="dxa"/>
            <w:shd w:val="clear" w:color="auto" w:fill="FFFFFF"/>
            <w:tcMar>
              <w:top w:w="72" w:type="dxa"/>
              <w:left w:w="144" w:type="dxa"/>
              <w:bottom w:w="72" w:type="dxa"/>
              <w:right w:w="144" w:type="dxa"/>
            </w:tcMar>
            <w:vAlign w:val="center"/>
          </w:tcPr>
          <w:p w14:paraId="2A8B83E4" w14:textId="3AEEDF93" w:rsidR="00995208" w:rsidRPr="00264463" w:rsidRDefault="00B36E5D">
            <w:pPr>
              <w:contextualSpacing w:val="0"/>
              <w:jc w:val="center"/>
              <w:rPr>
                <w:sz w:val="20"/>
                <w:szCs w:val="20"/>
              </w:rPr>
            </w:pPr>
            <w:r>
              <w:rPr>
                <w:sz w:val="20"/>
                <w:szCs w:val="20"/>
              </w:rPr>
              <w:t>0.5/1.0 (N</w:t>
            </w:r>
            <w:r w:rsidR="00B16E93" w:rsidRPr="00264463">
              <w:rPr>
                <w:sz w:val="20"/>
                <w:szCs w:val="20"/>
              </w:rPr>
              <w:t>A) (growth)(</w:t>
            </w:r>
            <w:r w:rsidR="00B16E93" w:rsidRPr="00264463">
              <w:rPr>
                <w:i/>
                <w:sz w:val="20"/>
                <w:szCs w:val="20"/>
              </w:rPr>
              <w:t>Lemna minor</w:t>
            </w:r>
            <w:r w:rsidR="00B16E93" w:rsidRPr="00264463">
              <w:rPr>
                <w:sz w:val="20"/>
                <w:szCs w:val="20"/>
              </w:rPr>
              <w:t>) (E1555150)</w:t>
            </w:r>
          </w:p>
        </w:tc>
        <w:tc>
          <w:tcPr>
            <w:tcW w:w="2057" w:type="dxa"/>
            <w:shd w:val="clear" w:color="auto" w:fill="FFFFFF"/>
            <w:tcMar>
              <w:top w:w="72" w:type="dxa"/>
              <w:left w:w="144" w:type="dxa"/>
              <w:bottom w:w="72" w:type="dxa"/>
              <w:right w:w="144" w:type="dxa"/>
            </w:tcMar>
            <w:vAlign w:val="center"/>
          </w:tcPr>
          <w:p w14:paraId="454F7F0B" w14:textId="27129C48" w:rsidR="00995208" w:rsidRPr="00264463" w:rsidRDefault="00B36E5D">
            <w:pPr>
              <w:contextualSpacing w:val="0"/>
              <w:jc w:val="center"/>
              <w:rPr>
                <w:sz w:val="20"/>
                <w:szCs w:val="20"/>
              </w:rPr>
            </w:pPr>
            <w:r>
              <w:rPr>
                <w:sz w:val="20"/>
                <w:szCs w:val="20"/>
              </w:rPr>
              <w:t>1.02/2.34 (N</w:t>
            </w:r>
            <w:r w:rsidR="00B16E93" w:rsidRPr="00264463">
              <w:rPr>
                <w:sz w:val="20"/>
                <w:szCs w:val="20"/>
              </w:rPr>
              <w:t>A) (frond number) (</w:t>
            </w:r>
            <w:r w:rsidR="00B16E93" w:rsidRPr="00264463">
              <w:rPr>
                <w:i/>
                <w:sz w:val="20"/>
                <w:szCs w:val="20"/>
              </w:rPr>
              <w:t>Lemna gibba</w:t>
            </w:r>
            <w:r w:rsidR="00B16E93" w:rsidRPr="00264463">
              <w:rPr>
                <w:sz w:val="20"/>
                <w:szCs w:val="20"/>
              </w:rPr>
              <w:t xml:space="preserve"> G3) (MRID 45312002)</w:t>
            </w:r>
          </w:p>
        </w:tc>
        <w:tc>
          <w:tcPr>
            <w:tcW w:w="3163" w:type="dxa"/>
            <w:shd w:val="clear" w:color="auto" w:fill="FFFFFF"/>
            <w:tcMar>
              <w:top w:w="72" w:type="dxa"/>
              <w:left w:w="144" w:type="dxa"/>
              <w:bottom w:w="72" w:type="dxa"/>
              <w:right w:w="144" w:type="dxa"/>
            </w:tcMar>
            <w:vAlign w:val="center"/>
          </w:tcPr>
          <w:p w14:paraId="15C9B233" w14:textId="77777777" w:rsidR="00995208" w:rsidRPr="00264463" w:rsidRDefault="00B16E93">
            <w:pPr>
              <w:contextualSpacing w:val="0"/>
              <w:rPr>
                <w:sz w:val="20"/>
                <w:szCs w:val="20"/>
              </w:rPr>
            </w:pPr>
            <w:r w:rsidRPr="00264463">
              <w:rPr>
                <w:sz w:val="20"/>
                <w:szCs w:val="20"/>
              </w:rPr>
              <w:t>Chlorpyrifos is ~2 times more toxic than TCP</w:t>
            </w:r>
          </w:p>
        </w:tc>
      </w:tr>
    </w:tbl>
    <w:p w14:paraId="486A307C" w14:textId="6B726260" w:rsidR="00995208" w:rsidRDefault="00B36E5D" w:rsidP="00B36E5D">
      <w:pPr>
        <w:rPr>
          <w:sz w:val="20"/>
          <w:szCs w:val="20"/>
        </w:rPr>
      </w:pPr>
      <w:r w:rsidRPr="007C1571">
        <w:rPr>
          <w:sz w:val="20"/>
          <w:szCs w:val="20"/>
          <w:vertAlign w:val="superscript"/>
        </w:rPr>
        <w:t>1</w:t>
      </w:r>
      <w:r>
        <w:rPr>
          <w:sz w:val="20"/>
          <w:szCs w:val="20"/>
        </w:rPr>
        <w:t xml:space="preserve"> N</w:t>
      </w:r>
      <w:r w:rsidRPr="007C1571">
        <w:rPr>
          <w:sz w:val="20"/>
          <w:szCs w:val="20"/>
        </w:rPr>
        <w:t>A = Not available.</w:t>
      </w:r>
    </w:p>
    <w:p w14:paraId="1E34DEF5" w14:textId="77777777" w:rsidR="00B36E5D" w:rsidRPr="00B36E5D" w:rsidRDefault="00B36E5D" w:rsidP="00B36E5D">
      <w:pPr>
        <w:rPr>
          <w:sz w:val="20"/>
          <w:szCs w:val="20"/>
        </w:rPr>
      </w:pPr>
    </w:p>
    <w:p w14:paraId="2CD2D380" w14:textId="77777777" w:rsidR="00995208" w:rsidRDefault="00B16E93">
      <w:r>
        <w:rPr>
          <w:b/>
        </w:rPr>
        <w:t>Mechanism of Formation of Oxon</w:t>
      </w:r>
    </w:p>
    <w:p w14:paraId="2F088FCC" w14:textId="77777777" w:rsidR="00995208" w:rsidRDefault="00995208"/>
    <w:p w14:paraId="768144B8" w14:textId="77777777" w:rsidR="00995208" w:rsidRDefault="00B16E93">
      <w:r>
        <w:t>While exposure of organophosphate (OP) pesticides present in the environment is of concern for listed species, the corresponding oxon is also of concern. OPs that contain a phosphothionate group (P=S) may transform to the corresponding oxon analogue containing a phosphorus-oxygen double bond (P=O).  While several studies have been conducted that indicate that OP and organothiophosphate chemicals that have sulfur double bonds to the central phosphorus atom generally form oxons during chemical disinfection by chlorine compounds (Magara</w:t>
      </w:r>
      <w:r>
        <w:rPr>
          <w:i/>
        </w:rPr>
        <w:t>, et al</w:t>
      </w:r>
      <w:r>
        <w:t xml:space="preserve">., 1994, Duirk and Collette, 2006; Wu and Laird, 2003), much less information is available on how the oxons form in the environment. The transformation occurs via oxidative desulfonation, which has been shown to occur through photolysis and may occur via other oxidative processes including soil metabolism.   </w:t>
      </w:r>
    </w:p>
    <w:p w14:paraId="58364F36" w14:textId="77777777" w:rsidR="00995208" w:rsidRDefault="00995208"/>
    <w:p w14:paraId="3689BAF0" w14:textId="77777777" w:rsidR="00995208" w:rsidRDefault="00B16E93">
      <w:r>
        <w:t xml:space="preserve">Environmental fate studies submitted to EPA do not identify chlorpyrifos-oxon as a transformation product except in field volatility and air photolysis studies. In general, chlorpyrifos-oxon is expected to be less persistent than chlorpyrifos and may be present in air, soil, water, and sediment (see the Environmental Fate and Transport section of this document for more details). </w:t>
      </w:r>
    </w:p>
    <w:p w14:paraId="5CD54760" w14:textId="77777777" w:rsidR="00995208" w:rsidRDefault="00995208"/>
    <w:p w14:paraId="7D2024EF" w14:textId="77777777" w:rsidR="00995208" w:rsidRDefault="00995208"/>
    <w:p w14:paraId="5535D6B7" w14:textId="77777777" w:rsidR="00995208" w:rsidRDefault="00B16E93">
      <w:pPr>
        <w:jc w:val="both"/>
      </w:pPr>
      <w:r>
        <w:rPr>
          <w:b/>
        </w:rPr>
        <w:t>Ambient Monitoring Data</w:t>
      </w:r>
    </w:p>
    <w:p w14:paraId="0D7B07EB" w14:textId="77777777" w:rsidR="00995208" w:rsidRDefault="00995208"/>
    <w:p w14:paraId="43EB8941" w14:textId="6ED875FF" w:rsidR="00995208" w:rsidRDefault="00B16E93">
      <w:r>
        <w:t xml:space="preserve">Chlorpyrifos and chlorpyrifos-oxon have both been detected in various environmental media confirming environmental formation of chlorpyrifos-oxon. </w:t>
      </w:r>
      <w:r>
        <w:rPr>
          <w:b/>
        </w:rPr>
        <w:t>Table</w:t>
      </w:r>
      <w:r>
        <w:t xml:space="preserve"> </w:t>
      </w:r>
      <w:r w:rsidR="006A2F0E" w:rsidRPr="006A2F0E">
        <w:rPr>
          <w:b/>
        </w:rPr>
        <w:t>B 1-9.3</w:t>
      </w:r>
      <w:r>
        <w:t xml:space="preserve"> provides a summary of ambient monitoring data including the maximum all time observed. The Environmental Fate and Transport section of this document provides additional ambient monitoring data details by program. Chlorpyrifos-oxon was also detected in a field volatility study. Nevertheless, these studies do not provide sufficient, consistent </w:t>
      </w:r>
      <w:r>
        <w:lastRenderedPageBreak/>
        <w:t>information on the levels of the oxon relative to chlorpyrifos, nor what conditions favor the oxon formation and/or persistence in the environment. As a result it is unclear the actual transport pathway of the oxon (</w:t>
      </w:r>
      <w:r>
        <w:rPr>
          <w:i/>
        </w:rPr>
        <w:t>e.g.</w:t>
      </w:r>
      <w:r>
        <w:t>, is it formed in the treated areas and transported via volatilization/runoff to waterbodies, does the parent compound volatilize and then transform to oxon in the atmosphere or at the receiving waterbody, or a combination), and how environmental estimated concentrations of the oxon should be modeled.</w:t>
      </w:r>
    </w:p>
    <w:p w14:paraId="3DFD5602" w14:textId="77777777" w:rsidR="00995208" w:rsidRDefault="00995208"/>
    <w:p w14:paraId="3AD96AEF" w14:textId="25C51F0D" w:rsidR="00995208" w:rsidRDefault="00B16E93">
      <w:r>
        <w:rPr>
          <w:b/>
        </w:rPr>
        <w:t xml:space="preserve">Table </w:t>
      </w:r>
      <w:r w:rsidR="006A2F0E">
        <w:rPr>
          <w:b/>
        </w:rPr>
        <w:t>B 1-9.3</w:t>
      </w:r>
      <w:r w:rsidR="00CA5D0B">
        <w:rPr>
          <w:b/>
        </w:rPr>
        <w:t>. Maximum observed concentrations of chlorpyrifos and chlorpyrifos-oxon in ambient monitoring d</w:t>
      </w:r>
      <w:r>
        <w:rPr>
          <w:b/>
        </w:rPr>
        <w:t>ata</w:t>
      </w:r>
    </w:p>
    <w:tbl>
      <w:tblPr>
        <w:tblStyle w:val="a1"/>
        <w:tblW w:w="93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995208" w14:paraId="494D4271" w14:textId="77777777" w:rsidTr="00D61D9C">
        <w:tc>
          <w:tcPr>
            <w:tcW w:w="3116" w:type="dxa"/>
            <w:shd w:val="clear" w:color="auto" w:fill="E7E6E6" w:themeFill="background2"/>
          </w:tcPr>
          <w:p w14:paraId="41E8355B" w14:textId="77777777" w:rsidR="00995208" w:rsidRPr="00740F54" w:rsidRDefault="00B16E93">
            <w:pPr>
              <w:jc w:val="center"/>
              <w:rPr>
                <w:rFonts w:asciiTheme="minorHAnsi" w:hAnsiTheme="minorHAnsi"/>
              </w:rPr>
            </w:pPr>
            <w:r w:rsidRPr="00740F54">
              <w:rPr>
                <w:rFonts w:asciiTheme="minorHAnsi" w:hAnsiTheme="minorHAnsi"/>
                <w:b/>
              </w:rPr>
              <w:t>Environmental Media</w:t>
            </w:r>
          </w:p>
        </w:tc>
        <w:tc>
          <w:tcPr>
            <w:tcW w:w="3117" w:type="dxa"/>
            <w:shd w:val="clear" w:color="auto" w:fill="E7E6E6" w:themeFill="background2"/>
          </w:tcPr>
          <w:p w14:paraId="0453B86F" w14:textId="77777777" w:rsidR="00995208" w:rsidRPr="00740F54" w:rsidRDefault="00B16E93">
            <w:pPr>
              <w:jc w:val="center"/>
              <w:rPr>
                <w:rFonts w:asciiTheme="minorHAnsi" w:hAnsiTheme="minorHAnsi"/>
              </w:rPr>
            </w:pPr>
            <w:r w:rsidRPr="00740F54">
              <w:rPr>
                <w:rFonts w:asciiTheme="minorHAnsi" w:hAnsiTheme="minorHAnsi"/>
                <w:b/>
              </w:rPr>
              <w:t>Chlorpyrifos</w:t>
            </w:r>
          </w:p>
        </w:tc>
        <w:tc>
          <w:tcPr>
            <w:tcW w:w="3117" w:type="dxa"/>
            <w:shd w:val="clear" w:color="auto" w:fill="E7E6E6" w:themeFill="background2"/>
          </w:tcPr>
          <w:p w14:paraId="1AD71BAB" w14:textId="77777777" w:rsidR="00995208" w:rsidRPr="00740F54" w:rsidRDefault="00B16E93">
            <w:pPr>
              <w:jc w:val="center"/>
              <w:rPr>
                <w:rFonts w:asciiTheme="minorHAnsi" w:hAnsiTheme="minorHAnsi"/>
              </w:rPr>
            </w:pPr>
            <w:r w:rsidRPr="00740F54">
              <w:rPr>
                <w:rFonts w:asciiTheme="minorHAnsi" w:hAnsiTheme="minorHAnsi"/>
                <w:b/>
              </w:rPr>
              <w:t>Chlorpyrifos-oxon</w:t>
            </w:r>
          </w:p>
        </w:tc>
      </w:tr>
      <w:tr w:rsidR="00995208" w14:paraId="79DEA86E" w14:textId="77777777">
        <w:tc>
          <w:tcPr>
            <w:tcW w:w="3116" w:type="dxa"/>
          </w:tcPr>
          <w:p w14:paraId="33FAC24B" w14:textId="77777777" w:rsidR="00995208" w:rsidRPr="00740F54" w:rsidRDefault="00B16E93">
            <w:pPr>
              <w:jc w:val="center"/>
              <w:rPr>
                <w:rFonts w:asciiTheme="minorHAnsi" w:hAnsiTheme="minorHAnsi"/>
              </w:rPr>
            </w:pPr>
            <w:r w:rsidRPr="00740F54">
              <w:rPr>
                <w:rFonts w:asciiTheme="minorHAnsi" w:hAnsiTheme="minorHAnsi"/>
              </w:rPr>
              <w:t>Air</w:t>
            </w:r>
          </w:p>
        </w:tc>
        <w:tc>
          <w:tcPr>
            <w:tcW w:w="3117" w:type="dxa"/>
          </w:tcPr>
          <w:p w14:paraId="35FC7789" w14:textId="77777777" w:rsidR="00995208" w:rsidRPr="00740F54" w:rsidRDefault="00B16E93">
            <w:pPr>
              <w:jc w:val="center"/>
              <w:rPr>
                <w:rFonts w:asciiTheme="minorHAnsi" w:hAnsiTheme="minorHAnsi"/>
              </w:rPr>
            </w:pPr>
            <w:r w:rsidRPr="00740F54">
              <w:rPr>
                <w:rFonts w:asciiTheme="minorHAnsi" w:hAnsiTheme="minorHAnsi"/>
              </w:rPr>
              <w:t>1,340 ng/m</w:t>
            </w:r>
            <w:r w:rsidRPr="00740F54">
              <w:rPr>
                <w:rFonts w:asciiTheme="minorHAnsi" w:hAnsiTheme="minorHAnsi"/>
                <w:vertAlign w:val="superscript"/>
              </w:rPr>
              <w:t>3</w:t>
            </w:r>
          </w:p>
        </w:tc>
        <w:tc>
          <w:tcPr>
            <w:tcW w:w="3117" w:type="dxa"/>
          </w:tcPr>
          <w:p w14:paraId="318296C4" w14:textId="77777777" w:rsidR="00995208" w:rsidRPr="00740F54" w:rsidRDefault="00B16E93">
            <w:pPr>
              <w:jc w:val="center"/>
              <w:rPr>
                <w:rFonts w:asciiTheme="minorHAnsi" w:hAnsiTheme="minorHAnsi"/>
              </w:rPr>
            </w:pPr>
            <w:r w:rsidRPr="00740F54">
              <w:rPr>
                <w:rFonts w:asciiTheme="minorHAnsi" w:hAnsiTheme="minorHAnsi"/>
              </w:rPr>
              <w:t>230 ng/m</w:t>
            </w:r>
            <w:r w:rsidRPr="00740F54">
              <w:rPr>
                <w:rFonts w:asciiTheme="minorHAnsi" w:hAnsiTheme="minorHAnsi"/>
                <w:vertAlign w:val="superscript"/>
              </w:rPr>
              <w:t>3</w:t>
            </w:r>
          </w:p>
        </w:tc>
      </w:tr>
      <w:tr w:rsidR="00995208" w14:paraId="0B72687D" w14:textId="77777777">
        <w:tc>
          <w:tcPr>
            <w:tcW w:w="3116" w:type="dxa"/>
          </w:tcPr>
          <w:p w14:paraId="6DF06BE2" w14:textId="77777777" w:rsidR="00995208" w:rsidRPr="00740F54" w:rsidRDefault="00B16E93">
            <w:pPr>
              <w:jc w:val="center"/>
              <w:rPr>
                <w:rFonts w:asciiTheme="minorHAnsi" w:hAnsiTheme="minorHAnsi"/>
              </w:rPr>
            </w:pPr>
            <w:r w:rsidRPr="00740F54">
              <w:rPr>
                <w:rFonts w:asciiTheme="minorHAnsi" w:hAnsiTheme="minorHAnsi"/>
              </w:rPr>
              <w:t>Surface Water</w:t>
            </w:r>
          </w:p>
        </w:tc>
        <w:tc>
          <w:tcPr>
            <w:tcW w:w="3117" w:type="dxa"/>
          </w:tcPr>
          <w:p w14:paraId="3B67BAE8" w14:textId="77777777" w:rsidR="00995208" w:rsidRPr="00740F54" w:rsidRDefault="00B16E93">
            <w:pPr>
              <w:jc w:val="center"/>
              <w:rPr>
                <w:rFonts w:asciiTheme="minorHAnsi" w:hAnsiTheme="minorHAnsi"/>
              </w:rPr>
            </w:pPr>
            <w:r w:rsidRPr="00740F54">
              <w:rPr>
                <w:rFonts w:asciiTheme="minorHAnsi" w:hAnsiTheme="minorHAnsi"/>
              </w:rPr>
              <w:t>14.7 µg/L</w:t>
            </w:r>
          </w:p>
        </w:tc>
        <w:tc>
          <w:tcPr>
            <w:tcW w:w="3117" w:type="dxa"/>
          </w:tcPr>
          <w:p w14:paraId="157A2F39" w14:textId="77777777" w:rsidR="00995208" w:rsidRPr="00740F54" w:rsidRDefault="00B16E93">
            <w:pPr>
              <w:jc w:val="center"/>
              <w:rPr>
                <w:rFonts w:asciiTheme="minorHAnsi" w:hAnsiTheme="minorHAnsi"/>
              </w:rPr>
            </w:pPr>
            <w:r w:rsidRPr="00740F54">
              <w:rPr>
                <w:rFonts w:asciiTheme="minorHAnsi" w:hAnsiTheme="minorHAnsi"/>
              </w:rPr>
              <w:t>0.054 µg/L</w:t>
            </w:r>
          </w:p>
        </w:tc>
      </w:tr>
      <w:tr w:rsidR="00995208" w14:paraId="2A1822D4" w14:textId="77777777">
        <w:tc>
          <w:tcPr>
            <w:tcW w:w="3116" w:type="dxa"/>
          </w:tcPr>
          <w:p w14:paraId="3F1F4187" w14:textId="77777777" w:rsidR="00995208" w:rsidRPr="00740F54" w:rsidRDefault="00B16E93">
            <w:pPr>
              <w:jc w:val="center"/>
              <w:rPr>
                <w:rFonts w:asciiTheme="minorHAnsi" w:hAnsiTheme="minorHAnsi"/>
              </w:rPr>
            </w:pPr>
            <w:r w:rsidRPr="00740F54">
              <w:rPr>
                <w:rFonts w:asciiTheme="minorHAnsi" w:hAnsiTheme="minorHAnsi"/>
              </w:rPr>
              <w:t>Sediment</w:t>
            </w:r>
          </w:p>
        </w:tc>
        <w:tc>
          <w:tcPr>
            <w:tcW w:w="3117" w:type="dxa"/>
          </w:tcPr>
          <w:p w14:paraId="2D21A1C6" w14:textId="77777777" w:rsidR="00995208" w:rsidRPr="00740F54" w:rsidRDefault="00B16E93">
            <w:pPr>
              <w:jc w:val="center"/>
              <w:rPr>
                <w:rFonts w:asciiTheme="minorHAnsi" w:hAnsiTheme="minorHAnsi"/>
              </w:rPr>
            </w:pPr>
            <w:r w:rsidRPr="00740F54">
              <w:rPr>
                <w:rFonts w:asciiTheme="minorHAnsi" w:hAnsiTheme="minorHAnsi"/>
              </w:rPr>
              <w:t>549 µg/kg</w:t>
            </w:r>
          </w:p>
        </w:tc>
        <w:tc>
          <w:tcPr>
            <w:tcW w:w="3117" w:type="dxa"/>
          </w:tcPr>
          <w:p w14:paraId="7E47F893" w14:textId="77777777" w:rsidR="00995208" w:rsidRPr="00740F54" w:rsidRDefault="00B16E93">
            <w:pPr>
              <w:jc w:val="center"/>
              <w:rPr>
                <w:rFonts w:asciiTheme="minorHAnsi" w:hAnsiTheme="minorHAnsi"/>
              </w:rPr>
            </w:pPr>
            <w:r w:rsidRPr="00740F54">
              <w:rPr>
                <w:rFonts w:asciiTheme="minorHAnsi" w:hAnsiTheme="minorHAnsi"/>
              </w:rPr>
              <w:t>&lt;3 µg/kg</w:t>
            </w:r>
          </w:p>
        </w:tc>
      </w:tr>
      <w:tr w:rsidR="00995208" w14:paraId="1F400642" w14:textId="77777777">
        <w:tc>
          <w:tcPr>
            <w:tcW w:w="3116" w:type="dxa"/>
          </w:tcPr>
          <w:p w14:paraId="7AFCE991" w14:textId="77777777" w:rsidR="00995208" w:rsidRPr="00740F54" w:rsidRDefault="00B16E93">
            <w:pPr>
              <w:jc w:val="center"/>
              <w:rPr>
                <w:rFonts w:asciiTheme="minorHAnsi" w:hAnsiTheme="minorHAnsi"/>
              </w:rPr>
            </w:pPr>
            <w:r w:rsidRPr="00740F54">
              <w:rPr>
                <w:rFonts w:asciiTheme="minorHAnsi" w:hAnsiTheme="minorHAnsi"/>
              </w:rPr>
              <w:t>Precipitation</w:t>
            </w:r>
          </w:p>
        </w:tc>
        <w:tc>
          <w:tcPr>
            <w:tcW w:w="3117" w:type="dxa"/>
          </w:tcPr>
          <w:p w14:paraId="5399559D" w14:textId="77777777" w:rsidR="00995208" w:rsidRPr="00740F54" w:rsidRDefault="00B16E93">
            <w:pPr>
              <w:jc w:val="center"/>
              <w:rPr>
                <w:rFonts w:asciiTheme="minorHAnsi" w:hAnsiTheme="minorHAnsi"/>
              </w:rPr>
            </w:pPr>
            <w:r w:rsidRPr="00740F54">
              <w:rPr>
                <w:rFonts w:asciiTheme="minorHAnsi" w:hAnsiTheme="minorHAnsi"/>
              </w:rPr>
              <w:t>No data</w:t>
            </w:r>
          </w:p>
        </w:tc>
        <w:tc>
          <w:tcPr>
            <w:tcW w:w="3117" w:type="dxa"/>
          </w:tcPr>
          <w:p w14:paraId="3C763E47" w14:textId="77777777" w:rsidR="00995208" w:rsidRPr="00740F54" w:rsidRDefault="00B16E93">
            <w:pPr>
              <w:jc w:val="center"/>
              <w:rPr>
                <w:rFonts w:asciiTheme="minorHAnsi" w:hAnsiTheme="minorHAnsi"/>
              </w:rPr>
            </w:pPr>
            <w:r w:rsidRPr="00740F54">
              <w:rPr>
                <w:rFonts w:asciiTheme="minorHAnsi" w:hAnsiTheme="minorHAnsi"/>
              </w:rPr>
              <w:t>No data</w:t>
            </w:r>
          </w:p>
        </w:tc>
      </w:tr>
    </w:tbl>
    <w:p w14:paraId="763CCAFE" w14:textId="77777777" w:rsidR="00995208" w:rsidRDefault="00995208"/>
    <w:p w14:paraId="15447B3F" w14:textId="77777777" w:rsidR="00995208" w:rsidRDefault="00B16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Atmospheric Formation and Decay</w:t>
      </w:r>
    </w:p>
    <w:p w14:paraId="7F38D4DC" w14:textId="77777777" w:rsidR="00995208" w:rsidRDefault="009952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24AE5DF" w14:textId="77777777" w:rsidR="00995208" w:rsidRDefault="00B16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Long-range transport of chlorpyrifos may be caused by spray drift, volatilization, or particle transport. Chlorpyrifos has been shown to form chlorpyrifos-oxon via indirect and direct photolysis. Although chlorpyrifos-oxon may be slightly more persistent in air (</w:t>
      </w:r>
      <w:r>
        <w:rPr>
          <w:i/>
        </w:rPr>
        <w:t>i.e.</w:t>
      </w:r>
      <w:r>
        <w:t xml:space="preserve">, longer indirect photolysis half-life), chlorpyrifos-oxon is susceptible to indirect and direct photolysis. </w:t>
      </w:r>
    </w:p>
    <w:p w14:paraId="4E616FDB" w14:textId="77777777" w:rsidR="00995208" w:rsidRDefault="009952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B0D0837" w14:textId="77777777" w:rsidR="00995208" w:rsidRDefault="00B16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EPISuite model AOPWin (atmospheric oxidation program) results indicate that the reaction rate for forming the oxon (reaction with S – sulfur, N – nitrogen, or hydroxy – OH) is only slightly faster than the rate of hydrogen abstraction. This suggests that the formation of the oxon is not quantitative. In addition, chlorpyrifos-oxon is subject to further degradation of the side chains. This is consistent with air photolysis data, where chlorpyrifos-oxon formed at maximum concentration of 50 ppb (or 11% of chlorpyrifos) approximately 5 hours after irradiation and direct and indirect half-life values less than one day. These results support the potential for near and long-range transport of both chlorpyrifos and chlorpyrifos-oxon.</w:t>
      </w:r>
    </w:p>
    <w:p w14:paraId="0E00EFCA" w14:textId="77777777" w:rsidR="00995208" w:rsidRDefault="00B16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Times New Roman" w:eastAsia="Times New Roman" w:hAnsi="Times New Roman" w:cs="Times New Roman"/>
          <w:b/>
          <w:sz w:val="24"/>
          <w:szCs w:val="24"/>
        </w:rPr>
        <w:t xml:space="preserve"> </w:t>
      </w:r>
    </w:p>
    <w:p w14:paraId="54FBC8A3" w14:textId="77777777" w:rsidR="00995208" w:rsidRDefault="00B16E93">
      <w:r>
        <w:rPr>
          <w:b/>
        </w:rPr>
        <w:t>Potential Effects of Chlorpyrifos-oxon</w:t>
      </w:r>
    </w:p>
    <w:p w14:paraId="5A4CEE27" w14:textId="77777777" w:rsidR="00995208" w:rsidRDefault="00995208"/>
    <w:p w14:paraId="54593F4F" w14:textId="77777777" w:rsidR="00995208" w:rsidRDefault="0038005A">
      <w:r>
        <w:t xml:space="preserve">The primary exposure pathway of </w:t>
      </w:r>
      <w:r w:rsidR="00740F54">
        <w:t xml:space="preserve">chlorpyrifos-oxon to </w:t>
      </w:r>
      <w:r>
        <w:t xml:space="preserve">non-target organism in the environment is thought to be a result of photolysis of chlorpyrifos in air following volatilization. </w:t>
      </w:r>
      <w:r w:rsidR="00B16E93">
        <w:t xml:space="preserve">The available </w:t>
      </w:r>
      <w:r>
        <w:t xml:space="preserve">air </w:t>
      </w:r>
      <w:r w:rsidR="00B16E93">
        <w:t>monitoring data indicate that, when detected, chlorpyrifos-oxon may be found at levels that are on the same order of magnitude as the parent. Additionally, the available toxicity data suggest that chlorpyrifos-oxon is of similar toxicity for most taxa when compared to the parent and is perhaps more toxic to some taxa (especially aquatic-phase amphibians) and less toxic to other (</w:t>
      </w:r>
      <w:r w:rsidR="00B16E93">
        <w:rPr>
          <w:i/>
        </w:rPr>
        <w:t>e.g</w:t>
      </w:r>
      <w:r w:rsidR="00B16E93">
        <w:t xml:space="preserve">., aquatic invertebrates). Therefore, in general, the effects of chlorpyrifos-oxon to exposed non-target organisms are likely to be similar to those of chlorpyrifos. </w:t>
      </w:r>
    </w:p>
    <w:p w14:paraId="7EDE9E2D" w14:textId="77777777" w:rsidR="00995208" w:rsidRDefault="00995208"/>
    <w:p w14:paraId="3D671471" w14:textId="77777777" w:rsidR="00995208" w:rsidRDefault="00B16E93">
      <w:r>
        <w:t>The likelihood of exposure to chlorpyrifos-oxon, however, may be less than the parent. This is because 1) chlorpyrifos-oxon is less persistent in the environment when compared to chlorpyrifos and 2) if oxon formation occurs in air, only a fraction of the applied chlorpyrifos would be transported in the air and subject to transformation (via reaction with hydroxyl radicals). The lower likelihood of exposure to chlorpyrifos-oxon appears to be supported by the available monitoring data where chlorpyrifos-oxon was detected less frequently than the parent (when considering samples where both were quantified).</w:t>
      </w:r>
    </w:p>
    <w:p w14:paraId="368802B3" w14:textId="77777777" w:rsidR="00995208" w:rsidRDefault="00995208">
      <w:bookmarkStart w:id="1" w:name="_GoBack"/>
      <w:bookmarkEnd w:id="1"/>
    </w:p>
    <w:p w14:paraId="1ADC6A17" w14:textId="15580374" w:rsidR="00995208" w:rsidRDefault="00B16E93">
      <w:r>
        <w:t xml:space="preserve">For birds, mammals, reptiles, terrestrial-phase amphibians, and terrestrial invertebrates, potential exposure to chlorpyrifos-oxon is expected to be accounted for in the estimations of exposures for the parent based on the foliar half-life being used for modeling.  The </w:t>
      </w:r>
      <w:r w:rsidR="00224B8A">
        <w:t xml:space="preserve">two </w:t>
      </w:r>
      <w:r>
        <w:t xml:space="preserve">available foliar dissipation half-lives for chlorpyrifos range </w:t>
      </w:r>
      <w:r w:rsidR="00224B8A" w:rsidRPr="00224B8A">
        <w:t xml:space="preserve">from 2.9 to 4 </w:t>
      </w:r>
      <w:r>
        <w:t xml:space="preserve">days. </w:t>
      </w:r>
      <w:r w:rsidR="00224B8A">
        <w:t xml:space="preserve"> </w:t>
      </w:r>
      <w:r>
        <w:t xml:space="preserve">The half-life of chlorpyrifos-oxon </w:t>
      </w:r>
      <w:r w:rsidRPr="00224B8A">
        <w:t>(</w:t>
      </w:r>
      <w:r w:rsidR="00224B8A" w:rsidRPr="00224B8A">
        <w:t>&lt;1 day</w:t>
      </w:r>
      <w:r>
        <w:t>) falls within this range.  Given that the toxicity of chlorpyrifos and chlorpyrifos-oxon are similar for terrestrial animals (within an order of magnitude), any effects due to chlorpyrifos-oxon, would likely be captured by using a conservative half-life for chlorpyrifos.</w:t>
      </w:r>
    </w:p>
    <w:p w14:paraId="14DEBEC3" w14:textId="77777777" w:rsidR="00995208" w:rsidRDefault="00995208"/>
    <w:p w14:paraId="55C4E5F9" w14:textId="6180689C" w:rsidR="00E661D9" w:rsidRPr="00E661D9" w:rsidRDefault="00E661D9" w:rsidP="00E661D9">
      <w:r w:rsidRPr="006F3826">
        <w:t>For aquatic animals, chlorpyrifos-oxon is at most 41x more toxic than the parent based on the aquatic taxon that showed the greatest difference in toxicity using the available data (</w:t>
      </w:r>
      <w:r w:rsidRPr="006F3826">
        <w:rPr>
          <w:i/>
        </w:rPr>
        <w:t>i.e</w:t>
      </w:r>
      <w:r w:rsidRPr="006F3826">
        <w:t xml:space="preserve">., yellow-legged frog, E118706) (see </w:t>
      </w:r>
      <w:r w:rsidRPr="006F3826">
        <w:rPr>
          <w:b/>
        </w:rPr>
        <w:t xml:space="preserve">Table </w:t>
      </w:r>
      <w:r w:rsidR="006A2F0E">
        <w:rPr>
          <w:b/>
        </w:rPr>
        <w:t>B 1-9.1</w:t>
      </w:r>
      <w:r w:rsidRPr="006F3826">
        <w:t xml:space="preserve">).  Available aquatic monitoring data with chlorpyrifos-oxon and chlorpyrifos provide a maximum ratio of 0.054/14.7 µg a.i. (0.0037) (chlorpyrifos-oxon:chlorpyrifos) (see </w:t>
      </w:r>
      <w:r w:rsidRPr="006F3826">
        <w:rPr>
          <w:b/>
        </w:rPr>
        <w:t xml:space="preserve">Table </w:t>
      </w:r>
      <w:r w:rsidR="006A2F0E">
        <w:rPr>
          <w:b/>
        </w:rPr>
        <w:t>B 1-9.3</w:t>
      </w:r>
      <w:r w:rsidRPr="006F3826">
        <w:t>). Therefore, although there is a potential for chlorpyrifos oxon to be more toxic to aquatic organisms than chlorpyrifos parent, available data indicate that the oxon is likely to be present at much lower concentrations than the parent.  The ratio of the maximum expected oxon concentration (0.0037) and effects endpoint (41), both relative to chlorpyrifos, is 0.15 (</w:t>
      </w:r>
      <w:r w:rsidRPr="006F3826">
        <w:rPr>
          <w:i/>
        </w:rPr>
        <w:t>i.e</w:t>
      </w:r>
      <w:r w:rsidRPr="006F3826">
        <w:t>., 0.0037 x 41).   Therefore, the risk of mortality associated with the oxon (exposure/effects) is expected to be low when compared to the risk (exposure/effects) associated with chlorpyrifos parent.  Additionally, the small potential for increased risk of mortality associated with the oxon when compared to the parent is well within the margin of uncertainty associated with the mortality threshold for chlorpyrifos for fish and aquatic phase amphibians, which spans orders of magnitude</w:t>
      </w:r>
      <w:r w:rsidRPr="006F3826">
        <w:rPr>
          <w:vertAlign w:val="superscript"/>
        </w:rPr>
        <w:footnoteReference w:id="1"/>
      </w:r>
      <w:r w:rsidRPr="006F3826">
        <w:t>. Therefore, a lack of quantification of potential increases of mortality due to the potential presence of chlorpyrifos-oxon does not represent greater uncertainty compared to what is already inherent in the mortality thresholds for chlorpyrifos.  For these reasons, in most cases, risks of mortality associated with the oxon are not expected to materially influence (</w:t>
      </w:r>
      <w:r w:rsidRPr="006F3826">
        <w:rPr>
          <w:i/>
        </w:rPr>
        <w:t>i.e</w:t>
      </w:r>
      <w:r w:rsidRPr="006F3826">
        <w:t>., change) any species-specific effects determination that is based on chlorpyrifos parent.  Therefore, the potential risks associated with the oxon will not be quantitatively assessed.  However, because of the uncertainties associated with the potential risks of the oxon (especially related to sub-lethal effects), the oxon will be qualitatively considered in the weight-of-evidence approach used for making effects determinations.</w:t>
      </w:r>
    </w:p>
    <w:p w14:paraId="64BFBAA4" w14:textId="77777777" w:rsidR="00995208" w:rsidRDefault="00995208"/>
    <w:p w14:paraId="2A680B2F" w14:textId="77777777" w:rsidR="00995208" w:rsidRDefault="00B16E93">
      <w:r>
        <w:rPr>
          <w:b/>
        </w:rPr>
        <w:t>References</w:t>
      </w:r>
    </w:p>
    <w:p w14:paraId="2F0055FE" w14:textId="77777777" w:rsidR="00787996" w:rsidRDefault="00787996" w:rsidP="00787996">
      <w:pPr>
        <w:pStyle w:val="Default"/>
      </w:pPr>
    </w:p>
    <w:p w14:paraId="3AEFC1BF" w14:textId="37B1BFFB" w:rsidR="00787996" w:rsidRDefault="00787996" w:rsidP="00787996">
      <w:pPr>
        <w:pStyle w:val="Default"/>
        <w:rPr>
          <w:sz w:val="22"/>
          <w:szCs w:val="22"/>
        </w:rPr>
      </w:pPr>
      <w:r>
        <w:rPr>
          <w:sz w:val="22"/>
          <w:szCs w:val="22"/>
        </w:rPr>
        <w:t>Duirk, S.E., and T.W. Collette</w:t>
      </w:r>
      <w:r w:rsidR="008249C8">
        <w:rPr>
          <w:sz w:val="22"/>
          <w:szCs w:val="22"/>
        </w:rPr>
        <w:t>.</w:t>
      </w:r>
      <w:r w:rsidR="007E26E6">
        <w:rPr>
          <w:sz w:val="22"/>
          <w:szCs w:val="22"/>
        </w:rPr>
        <w:t xml:space="preserve"> 2006</w:t>
      </w:r>
      <w:r>
        <w:rPr>
          <w:sz w:val="22"/>
          <w:szCs w:val="22"/>
        </w:rPr>
        <w:t xml:space="preserve">. Degradation of chlorpyrifos in aqueous chlorine solutions: Pathways, kinetics, and modeling. </w:t>
      </w:r>
      <w:r>
        <w:rPr>
          <w:i/>
          <w:iCs/>
          <w:sz w:val="22"/>
          <w:szCs w:val="22"/>
        </w:rPr>
        <w:t>Environ. Sci. Technol</w:t>
      </w:r>
      <w:r>
        <w:rPr>
          <w:sz w:val="22"/>
          <w:szCs w:val="22"/>
        </w:rPr>
        <w:t xml:space="preserve">., 40(2): 546 – 551. </w:t>
      </w:r>
    </w:p>
    <w:p w14:paraId="7481C93C" w14:textId="77777777" w:rsidR="00995208" w:rsidRDefault="00995208"/>
    <w:p w14:paraId="321207B9" w14:textId="5946B81A" w:rsidR="00995208" w:rsidRDefault="00B16E93">
      <w:r>
        <w:t>Glotfelty, D.E., Majewski, M.S. and J.N. Seiber. 1990.  Distribution of several organophosphorus insecticides and their oxygen analogues in a foggy atmosphere. Environmental Science and Technology, 24 (3), 353-357.</w:t>
      </w:r>
    </w:p>
    <w:p w14:paraId="55FB9BE4" w14:textId="77777777" w:rsidR="009B6A18" w:rsidRDefault="009B6A18" w:rsidP="009B6A18">
      <w:pPr>
        <w:pStyle w:val="Default"/>
      </w:pPr>
    </w:p>
    <w:p w14:paraId="30986F18" w14:textId="4CDA002B" w:rsidR="009B6A18" w:rsidRDefault="009B6A18" w:rsidP="009B6A18">
      <w:pPr>
        <w:pStyle w:val="Default"/>
        <w:rPr>
          <w:sz w:val="22"/>
          <w:szCs w:val="22"/>
        </w:rPr>
      </w:pPr>
      <w:r>
        <w:rPr>
          <w:sz w:val="22"/>
          <w:szCs w:val="22"/>
        </w:rPr>
        <w:t>Magara, Y., T. Aizawa, N. Matumoto, and F. Souna</w:t>
      </w:r>
      <w:r w:rsidR="008249C8">
        <w:rPr>
          <w:sz w:val="22"/>
          <w:szCs w:val="22"/>
        </w:rPr>
        <w:t>.</w:t>
      </w:r>
      <w:r>
        <w:rPr>
          <w:sz w:val="22"/>
          <w:szCs w:val="22"/>
        </w:rPr>
        <w:t xml:space="preserve"> 1994. Degradation of pesticides by chlorination during water purification. </w:t>
      </w:r>
      <w:r>
        <w:rPr>
          <w:i/>
          <w:iCs/>
          <w:sz w:val="22"/>
          <w:szCs w:val="22"/>
        </w:rPr>
        <w:t>Water Sci. Technol</w:t>
      </w:r>
      <w:r>
        <w:rPr>
          <w:sz w:val="22"/>
          <w:szCs w:val="22"/>
        </w:rPr>
        <w:t xml:space="preserve">., 30(7): 119 – 128. </w:t>
      </w:r>
    </w:p>
    <w:p w14:paraId="78BF00AC" w14:textId="77777777" w:rsidR="00995208" w:rsidRDefault="00995208"/>
    <w:p w14:paraId="5289B6BA" w14:textId="4650586D" w:rsidR="00995208" w:rsidRDefault="00B16E93">
      <w:pPr>
        <w:jc w:val="both"/>
      </w:pPr>
      <w:r>
        <w:t>Majewski, M.S. and P.D. Capel. 1995. Pesticides in the atmosphere: distribution, trends, and governing factors. Ann Arbor Press, Inc. Chelsea, MI.</w:t>
      </w:r>
    </w:p>
    <w:p w14:paraId="48712217" w14:textId="7271C0C1" w:rsidR="00995208" w:rsidRDefault="00B16E93">
      <w:pPr>
        <w:jc w:val="both"/>
      </w:pPr>
      <w:r>
        <w:lastRenderedPageBreak/>
        <w:t xml:space="preserve">Majewski, M.S., Zamora, C., Foreman, W.T., and C.R. Kratzer. 2006. Contribution of atmospheric deposition to pesticide loads in surface water runoff.  United States Geological Survey. Open-file Report 2005-1307. Available online at: </w:t>
      </w:r>
      <w:r>
        <w:tab/>
      </w:r>
      <w:hyperlink r:id="rId7">
        <w:r>
          <w:rPr>
            <w:color w:val="0000FF"/>
            <w:u w:val="single"/>
          </w:rPr>
          <w:t>http://pubs.usgs.gov/of/2005/1307/</w:t>
        </w:r>
      </w:hyperlink>
      <w:r>
        <w:t>.</w:t>
      </w:r>
    </w:p>
    <w:p w14:paraId="3735B5A1" w14:textId="77777777" w:rsidR="00995208" w:rsidRDefault="00995208">
      <w:pPr>
        <w:jc w:val="both"/>
      </w:pPr>
    </w:p>
    <w:p w14:paraId="2285C332" w14:textId="3C6DD6E1" w:rsidR="00995208" w:rsidRDefault="00B16E93">
      <w:pPr>
        <w:jc w:val="both"/>
      </w:pPr>
      <w:r>
        <w:t xml:space="preserve">Schomburg, C.J., Glotfelty, D.E., and J.N. Selber. 1991. Pesticide occurrence and distribution in fog collected near Monterey, California. Environmental Science and Technology, 25, </w:t>
      </w:r>
      <w:r>
        <w:tab/>
        <w:t>155 160.</w:t>
      </w:r>
    </w:p>
    <w:p w14:paraId="76C0A15C" w14:textId="77777777" w:rsidR="00787996" w:rsidRDefault="00787996" w:rsidP="00787996">
      <w:pPr>
        <w:pStyle w:val="Default"/>
      </w:pPr>
    </w:p>
    <w:p w14:paraId="009E299D" w14:textId="26A17B0A" w:rsidR="00995208" w:rsidRDefault="00787996" w:rsidP="00787996">
      <w:pPr>
        <w:pStyle w:val="Default"/>
      </w:pPr>
      <w:r>
        <w:rPr>
          <w:sz w:val="22"/>
          <w:szCs w:val="22"/>
        </w:rPr>
        <w:t>Wu, J.G., and D.A. Laird</w:t>
      </w:r>
      <w:r w:rsidR="008249C8">
        <w:rPr>
          <w:sz w:val="22"/>
          <w:szCs w:val="22"/>
        </w:rPr>
        <w:t>.</w:t>
      </w:r>
      <w:r w:rsidR="007E26E6">
        <w:rPr>
          <w:sz w:val="22"/>
          <w:szCs w:val="22"/>
        </w:rPr>
        <w:t xml:space="preserve"> 2003</w:t>
      </w:r>
      <w:r>
        <w:rPr>
          <w:sz w:val="22"/>
          <w:szCs w:val="22"/>
        </w:rPr>
        <w:t xml:space="preserve">. Abiotic transformation of chlorpyrifos to chlorpyrifos oxon in chlorinated water. </w:t>
      </w:r>
      <w:r>
        <w:rPr>
          <w:i/>
          <w:iCs/>
          <w:sz w:val="22"/>
          <w:szCs w:val="22"/>
        </w:rPr>
        <w:t>Environ. Toxicol. Chem</w:t>
      </w:r>
      <w:r>
        <w:rPr>
          <w:sz w:val="22"/>
          <w:szCs w:val="22"/>
        </w:rPr>
        <w:t xml:space="preserve">., 22(2): 261 – 264. </w:t>
      </w:r>
    </w:p>
    <w:p w14:paraId="1DAFB697" w14:textId="77777777" w:rsidR="00787996" w:rsidRDefault="00787996">
      <w:pPr>
        <w:jc w:val="both"/>
      </w:pPr>
    </w:p>
    <w:p w14:paraId="4EAF1459" w14:textId="5F5C3A60" w:rsidR="00995208" w:rsidRDefault="00B16E93">
      <w:r>
        <w:t>Zabik, J.M. and J.N. Seiber. 1993. Atmospheric transport of organophosphate pesticides from California's Central Valley to the Sierra Nevada Mountains. J environ qual. 22: 80-90.</w:t>
      </w:r>
    </w:p>
    <w:p w14:paraId="2DAC6989" w14:textId="77777777" w:rsidR="00995208" w:rsidRDefault="00995208">
      <w:bookmarkStart w:id="2" w:name="h.30j0zll" w:colFirst="0" w:colLast="0"/>
      <w:bookmarkEnd w:id="2"/>
    </w:p>
    <w:sectPr w:rsidR="00995208">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6006B" w14:textId="77777777" w:rsidR="00473734" w:rsidRDefault="00473734">
      <w:r>
        <w:separator/>
      </w:r>
    </w:p>
  </w:endnote>
  <w:endnote w:type="continuationSeparator" w:id="0">
    <w:p w14:paraId="75E9A081" w14:textId="77777777" w:rsidR="00473734" w:rsidRDefault="0047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34426"/>
      <w:docPartObj>
        <w:docPartGallery w:val="Page Numbers (Bottom of Page)"/>
        <w:docPartUnique/>
      </w:docPartObj>
    </w:sdtPr>
    <w:sdtEndPr>
      <w:rPr>
        <w:noProof/>
      </w:rPr>
    </w:sdtEndPr>
    <w:sdtContent>
      <w:p w14:paraId="436A92E6" w14:textId="111A3183" w:rsidR="000B5CB5" w:rsidRDefault="000B5CB5">
        <w:pPr>
          <w:pStyle w:val="Footer"/>
          <w:jc w:val="center"/>
        </w:pPr>
        <w:r>
          <w:t xml:space="preserve">B9 (PF) - </w:t>
        </w:r>
        <w:r>
          <w:fldChar w:fldCharType="begin"/>
        </w:r>
        <w:r>
          <w:instrText xml:space="preserve"> PAGE   \* MERGEFORMAT </w:instrText>
        </w:r>
        <w:r>
          <w:fldChar w:fldCharType="separate"/>
        </w:r>
        <w:r w:rsidR="007B013C">
          <w:rPr>
            <w:noProof/>
          </w:rPr>
          <w:t>8</w:t>
        </w:r>
        <w:r>
          <w:rPr>
            <w:noProof/>
          </w:rPr>
          <w:fldChar w:fldCharType="end"/>
        </w:r>
      </w:p>
    </w:sdtContent>
  </w:sdt>
  <w:p w14:paraId="545F60AA" w14:textId="77777777" w:rsidR="000B5CB5" w:rsidRDefault="000B5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5506A" w14:textId="77777777" w:rsidR="00473734" w:rsidRDefault="00473734">
      <w:r>
        <w:separator/>
      </w:r>
    </w:p>
  </w:footnote>
  <w:footnote w:type="continuationSeparator" w:id="0">
    <w:p w14:paraId="52E041D2" w14:textId="77777777" w:rsidR="00473734" w:rsidRDefault="00473734">
      <w:r>
        <w:continuationSeparator/>
      </w:r>
    </w:p>
  </w:footnote>
  <w:footnote w:id="1">
    <w:p w14:paraId="7DB76A47" w14:textId="6C24859F" w:rsidR="00E661D9" w:rsidRDefault="00E661D9" w:rsidP="00E661D9">
      <w:r>
        <w:rPr>
          <w:vertAlign w:val="superscript"/>
        </w:rPr>
        <w:footnoteRef/>
      </w:r>
      <w:r>
        <w:t xml:space="preserve"> For the HC</w:t>
      </w:r>
      <w:r>
        <w:rPr>
          <w:vertAlign w:val="subscript"/>
        </w:rPr>
        <w:t>05</w:t>
      </w:r>
      <w:r>
        <w:t xml:space="preserve">: SE = </w:t>
      </w:r>
      <w:r w:rsidR="00F1118C" w:rsidRPr="00F1118C">
        <w:t>1.13</w:t>
      </w:r>
      <w:r w:rsidR="00F1118C">
        <w:t>, CV = 0.79</w:t>
      </w:r>
      <w:r>
        <w:t>; for the threshold, the uncertainty bound due to slope values represents an additional order of magnitude.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08"/>
    <w:rsid w:val="00037654"/>
    <w:rsid w:val="00066719"/>
    <w:rsid w:val="000B5CB5"/>
    <w:rsid w:val="0019760F"/>
    <w:rsid w:val="001C6830"/>
    <w:rsid w:val="00224B8A"/>
    <w:rsid w:val="00264463"/>
    <w:rsid w:val="00373568"/>
    <w:rsid w:val="0038005A"/>
    <w:rsid w:val="00405EF1"/>
    <w:rsid w:val="00432C78"/>
    <w:rsid w:val="00462640"/>
    <w:rsid w:val="00462B08"/>
    <w:rsid w:val="00473734"/>
    <w:rsid w:val="00481B34"/>
    <w:rsid w:val="004F3D25"/>
    <w:rsid w:val="004F6B7A"/>
    <w:rsid w:val="005F418E"/>
    <w:rsid w:val="00600E19"/>
    <w:rsid w:val="006421AA"/>
    <w:rsid w:val="006A2F0E"/>
    <w:rsid w:val="006F3826"/>
    <w:rsid w:val="00740F54"/>
    <w:rsid w:val="00762F2A"/>
    <w:rsid w:val="00787996"/>
    <w:rsid w:val="007B013C"/>
    <w:rsid w:val="007C1571"/>
    <w:rsid w:val="007D6D5B"/>
    <w:rsid w:val="007E26E6"/>
    <w:rsid w:val="008249C8"/>
    <w:rsid w:val="00861938"/>
    <w:rsid w:val="00895E15"/>
    <w:rsid w:val="008A64BC"/>
    <w:rsid w:val="00995208"/>
    <w:rsid w:val="009B6A18"/>
    <w:rsid w:val="009F549E"/>
    <w:rsid w:val="00A31C81"/>
    <w:rsid w:val="00AA2067"/>
    <w:rsid w:val="00B0576C"/>
    <w:rsid w:val="00B16E93"/>
    <w:rsid w:val="00B36E5D"/>
    <w:rsid w:val="00B735D9"/>
    <w:rsid w:val="00C26AF5"/>
    <w:rsid w:val="00CA5D0B"/>
    <w:rsid w:val="00D5069A"/>
    <w:rsid w:val="00D61D9C"/>
    <w:rsid w:val="00DE61EF"/>
    <w:rsid w:val="00E661D9"/>
    <w:rsid w:val="00E70402"/>
    <w:rsid w:val="00ED0021"/>
    <w:rsid w:val="00F1118C"/>
    <w:rsid w:val="00F3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6664"/>
  <w15:docId w15:val="{708FEA26-B491-4246-B16C-F3FCB710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800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05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40F54"/>
    <w:rPr>
      <w:b/>
      <w:bCs/>
    </w:rPr>
  </w:style>
  <w:style w:type="character" w:customStyle="1" w:styleId="CommentSubjectChar">
    <w:name w:val="Comment Subject Char"/>
    <w:basedOn w:val="CommentTextChar"/>
    <w:link w:val="CommentSubject"/>
    <w:uiPriority w:val="99"/>
    <w:semiHidden/>
    <w:rsid w:val="00740F54"/>
    <w:rPr>
      <w:b/>
      <w:bCs/>
      <w:sz w:val="20"/>
      <w:szCs w:val="20"/>
    </w:rPr>
  </w:style>
  <w:style w:type="paragraph" w:styleId="Header">
    <w:name w:val="header"/>
    <w:basedOn w:val="Normal"/>
    <w:link w:val="HeaderChar"/>
    <w:uiPriority w:val="99"/>
    <w:unhideWhenUsed/>
    <w:rsid w:val="000B5CB5"/>
    <w:pPr>
      <w:tabs>
        <w:tab w:val="center" w:pos="4680"/>
        <w:tab w:val="right" w:pos="9360"/>
      </w:tabs>
    </w:pPr>
  </w:style>
  <w:style w:type="character" w:customStyle="1" w:styleId="HeaderChar">
    <w:name w:val="Header Char"/>
    <w:basedOn w:val="DefaultParagraphFont"/>
    <w:link w:val="Header"/>
    <w:uiPriority w:val="99"/>
    <w:rsid w:val="000B5CB5"/>
  </w:style>
  <w:style w:type="paragraph" w:styleId="Footer">
    <w:name w:val="footer"/>
    <w:basedOn w:val="Normal"/>
    <w:link w:val="FooterChar"/>
    <w:uiPriority w:val="99"/>
    <w:unhideWhenUsed/>
    <w:rsid w:val="000B5CB5"/>
    <w:pPr>
      <w:tabs>
        <w:tab w:val="center" w:pos="4680"/>
        <w:tab w:val="right" w:pos="9360"/>
      </w:tabs>
    </w:pPr>
  </w:style>
  <w:style w:type="character" w:customStyle="1" w:styleId="FooterChar">
    <w:name w:val="Footer Char"/>
    <w:basedOn w:val="DefaultParagraphFont"/>
    <w:link w:val="Footer"/>
    <w:uiPriority w:val="99"/>
    <w:rsid w:val="000B5CB5"/>
  </w:style>
  <w:style w:type="paragraph" w:customStyle="1" w:styleId="Default">
    <w:name w:val="Default"/>
    <w:rsid w:val="00787996"/>
    <w:pPr>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pubs.usgs.gov/of/2005/13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2851</Words>
  <Characters>16257</Characters>
  <Application>Microsoft Office Word</Application>
  <DocSecurity>2</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Bohaty, Rochelle</dc:creator>
  <cp:lastModifiedBy>Panger, Melissa</cp:lastModifiedBy>
  <cp:revision>2</cp:revision>
  <dcterms:created xsi:type="dcterms:W3CDTF">2017-01-11T13:06:00Z</dcterms:created>
  <dcterms:modified xsi:type="dcterms:W3CDTF">2017-01-11T13:06:00Z</dcterms:modified>
</cp:coreProperties>
</file>