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EDF9C2" w14:textId="4292FAF1" w:rsidR="00AE67D3" w:rsidRPr="004F4A74" w:rsidRDefault="00546B1F">
      <w:pPr>
        <w:spacing w:after="0" w:line="240" w:lineRule="auto"/>
        <w:rPr>
          <w:b/>
          <w:sz w:val="24"/>
          <w:szCs w:val="24"/>
        </w:rPr>
      </w:pPr>
      <w:bookmarkStart w:id="0" w:name="h.gjdgxs" w:colFirst="0" w:colLast="0"/>
      <w:bookmarkStart w:id="1" w:name="_GoBack"/>
      <w:bookmarkEnd w:id="0"/>
      <w:bookmarkEnd w:id="1"/>
      <w:r w:rsidRPr="004F4A74">
        <w:rPr>
          <w:b/>
          <w:sz w:val="24"/>
          <w:szCs w:val="24"/>
        </w:rPr>
        <w:t xml:space="preserve">APPENDIX </w:t>
      </w:r>
      <w:r w:rsidR="004F4A74" w:rsidRPr="004F4A74">
        <w:rPr>
          <w:b/>
          <w:sz w:val="24"/>
          <w:szCs w:val="24"/>
        </w:rPr>
        <w:t>1-11</w:t>
      </w:r>
      <w:r w:rsidRPr="004F4A74">
        <w:rPr>
          <w:b/>
          <w:sz w:val="24"/>
          <w:szCs w:val="24"/>
        </w:rPr>
        <w:t>:  Multi-A.I. Formulation Analysis for Chlorpyrifos</w:t>
      </w:r>
    </w:p>
    <w:p w14:paraId="01938416" w14:textId="77777777" w:rsidR="007C248E" w:rsidRDefault="007C248E">
      <w:pPr>
        <w:spacing w:after="0" w:line="240" w:lineRule="auto"/>
      </w:pPr>
    </w:p>
    <w:tbl>
      <w:tblPr>
        <w:tblStyle w:val="a"/>
        <w:tblW w:w="1230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12300"/>
      </w:tblGrid>
      <w:tr w:rsidR="00AE67D3" w14:paraId="7173AFBD" w14:textId="77777777">
        <w:trPr>
          <w:trHeight w:val="1080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EF618" w14:textId="53D1882D" w:rsidR="00AE67D3" w:rsidRDefault="007C248E" w:rsidP="007C248E">
            <w:pPr>
              <w:spacing w:after="0" w:line="240" w:lineRule="auto"/>
              <w:contextualSpacing w:val="0"/>
            </w:pPr>
            <w:r>
              <w:t xml:space="preserve">This analysis is based on the acute oral rat studies submitted to EPA by registrants. The analysis includes data for technical grade active ingredient (TGAI) and typical end-use products (TEP) that have flowable formulations.  Therefore, data are not available on all registered multi-a.i. formulations.  </w:t>
            </w:r>
            <w:r w:rsidR="00546B1F">
              <w:t>If there are multiple studies with the technical formulation for which confidence intervals (CI) are provided for the LD</w:t>
            </w:r>
            <w:r w:rsidR="00546B1F" w:rsidRPr="004F4A74">
              <w:rPr>
                <w:vertAlign w:val="subscript"/>
              </w:rPr>
              <w:t>50</w:t>
            </w:r>
            <w:r w:rsidR="00546B1F">
              <w:t>, then the CI with the smallest lower CI for the LD</w:t>
            </w:r>
            <w:r w:rsidR="00546B1F" w:rsidRPr="004F4A74">
              <w:rPr>
                <w:vertAlign w:val="subscript"/>
              </w:rPr>
              <w:t>50</w:t>
            </w:r>
            <w:r w:rsidR="00546B1F">
              <w:t xml:space="preserve"> (</w:t>
            </w:r>
            <w:r w:rsidR="00546B1F" w:rsidRPr="007C248E">
              <w:rPr>
                <w:i/>
              </w:rPr>
              <w:t>i.e</w:t>
            </w:r>
            <w:r w:rsidR="00546B1F">
              <w:t>., most toxic LD</w:t>
            </w:r>
            <w:r w:rsidR="00546B1F" w:rsidRPr="004F4A74">
              <w:rPr>
                <w:vertAlign w:val="subscript"/>
              </w:rPr>
              <w:t>50</w:t>
            </w:r>
            <w:r w:rsidR="00546B1F">
              <w:t>,) after correcting for %AI, is compared to the LD</w:t>
            </w:r>
            <w:r w:rsidR="00546B1F" w:rsidRPr="004F4A74">
              <w:rPr>
                <w:vertAlign w:val="subscript"/>
              </w:rPr>
              <w:t>50</w:t>
            </w:r>
            <w:r w:rsidR="00546B1F">
              <w:t xml:space="preserve"> upper CI for each formulation, after correcting for %AI.  If these confidence intervals do not overlap, then the formulated mixture is considered to be more toxic</w:t>
            </w:r>
            <w:r>
              <w:t xml:space="preserve"> to mammals on an acute exposure basis</w:t>
            </w:r>
            <w:r w:rsidR="00546B1F">
              <w:t xml:space="preserve">. </w:t>
            </w:r>
            <w:r w:rsidR="001373AB">
              <w:t xml:space="preserve"> </w:t>
            </w:r>
          </w:p>
        </w:tc>
      </w:tr>
      <w:tr w:rsidR="00AE67D3" w14:paraId="3462CCC4" w14:textId="77777777">
        <w:trPr>
          <w:trHeight w:val="900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2D735" w14:textId="77777777" w:rsidR="00AE2A62" w:rsidRDefault="00AE2A62">
            <w:pPr>
              <w:spacing w:after="0" w:line="240" w:lineRule="auto"/>
              <w:contextualSpacing w:val="0"/>
            </w:pPr>
          </w:p>
          <w:p w14:paraId="487A3D66" w14:textId="77777777" w:rsidR="003E7CE1" w:rsidRPr="0094229D" w:rsidRDefault="00546B1F">
            <w:pPr>
              <w:spacing w:after="0" w:line="240" w:lineRule="auto"/>
              <w:contextualSpacing w:val="0"/>
            </w:pPr>
            <w:r>
              <w:t>"</w:t>
            </w:r>
            <w:r w:rsidRPr="0094229D">
              <w:t>Percent Active Ingredient" (column I) and the "Oral LD</w:t>
            </w:r>
            <w:r w:rsidRPr="004F4A74">
              <w:rPr>
                <w:vertAlign w:val="subscript"/>
              </w:rPr>
              <w:t>50</w:t>
            </w:r>
            <w:r w:rsidRPr="0094229D">
              <w:t xml:space="preserve"> Lower/Upper CIs" must be numeric values for the toxicity comparison to be done.  If any of these values are non-numeric (e.g., "&lt;50", "N/A", "highest dose"), the corresponding study will not be included in the comparison.</w:t>
            </w:r>
            <w:r w:rsidR="00AE2A62" w:rsidRPr="0094229D">
              <w:t xml:space="preserve">  </w:t>
            </w:r>
          </w:p>
          <w:p w14:paraId="49291C60" w14:textId="77777777" w:rsidR="003E7CE1" w:rsidRPr="0094229D" w:rsidRDefault="003E7CE1">
            <w:pPr>
              <w:spacing w:after="0" w:line="240" w:lineRule="auto"/>
              <w:contextualSpacing w:val="0"/>
            </w:pPr>
          </w:p>
          <w:p w14:paraId="1BE06160" w14:textId="63910A55" w:rsidR="00AE67D3" w:rsidRPr="0094229D" w:rsidRDefault="003E7CE1">
            <w:pPr>
              <w:spacing w:after="0" w:line="240" w:lineRule="auto"/>
              <w:contextualSpacing w:val="0"/>
            </w:pPr>
            <w:r w:rsidRPr="0094229D">
              <w:t>If the CIs overlap, the conclusion will be “</w:t>
            </w:r>
            <w:r w:rsidR="008033B3" w:rsidRPr="0094229D">
              <w:rPr>
                <w:rFonts w:asciiTheme="minorHAnsi" w:hAnsiTheme="minorHAnsi"/>
              </w:rPr>
              <w:t>Formulation not more toxic than single a.i.</w:t>
            </w:r>
            <w:r w:rsidRPr="0094229D">
              <w:rPr>
                <w:rFonts w:asciiTheme="minorHAnsi" w:hAnsiTheme="minorHAnsi"/>
              </w:rPr>
              <w:t>”.</w:t>
            </w:r>
            <w:r w:rsidRPr="0094229D">
              <w:t xml:space="preserve"> </w:t>
            </w:r>
            <w:r w:rsidR="008033B3" w:rsidRPr="00480D30">
              <w:t>If CIs are not available, the conclusion will be “</w:t>
            </w:r>
            <w:r w:rsidR="008033B3" w:rsidRPr="00480D30">
              <w:rPr>
                <w:rFonts w:asciiTheme="minorHAnsi" w:hAnsiTheme="minorHAnsi"/>
              </w:rPr>
              <w:t>Insufficient data to establish different toxicity</w:t>
            </w:r>
            <w:r w:rsidR="008033B3" w:rsidRPr="00480D30">
              <w:t>”</w:t>
            </w:r>
            <w:r w:rsidR="008033B3" w:rsidRPr="0094229D">
              <w:t xml:space="preserve">. </w:t>
            </w:r>
            <w:r w:rsidR="00AE2A62" w:rsidRPr="0094229D">
              <w:t xml:space="preserve">If the results are from an up-and-down study (OECD Test Guideline 425 Acute Oral Toxicity-Up-and-Down Procedure), there is lower confidence in the results due to the lower number of animals used in testing.  Therefore, </w:t>
            </w:r>
            <w:r w:rsidR="005D43F5" w:rsidRPr="0094229D">
              <w:t xml:space="preserve">the conclusion for </w:t>
            </w:r>
            <w:r w:rsidR="00AE2A62" w:rsidRPr="0094229D">
              <w:t xml:space="preserve">any differences in the CIs based on up-and-down studies will </w:t>
            </w:r>
            <w:r w:rsidRPr="0094229D">
              <w:t xml:space="preserve">also </w:t>
            </w:r>
            <w:r w:rsidR="00AE2A62" w:rsidRPr="0094229D">
              <w:t>be</w:t>
            </w:r>
            <w:r w:rsidR="005D43F5" w:rsidRPr="0094229D">
              <w:t xml:space="preserve"> “</w:t>
            </w:r>
            <w:r w:rsidRPr="0094229D">
              <w:rPr>
                <w:rFonts w:asciiTheme="minorHAnsi" w:hAnsiTheme="minorHAnsi"/>
              </w:rPr>
              <w:t>Insufficient data to establish different toxicity</w:t>
            </w:r>
            <w:r w:rsidR="005D43F5" w:rsidRPr="0094229D">
              <w:t>”.</w:t>
            </w:r>
            <w:r w:rsidR="00AE2A62" w:rsidRPr="0094229D">
              <w:t xml:space="preserve"> </w:t>
            </w:r>
          </w:p>
          <w:p w14:paraId="0A0465A3" w14:textId="77777777" w:rsidR="00AE2A62" w:rsidRPr="0094229D" w:rsidRDefault="00AE2A62">
            <w:pPr>
              <w:spacing w:after="0" w:line="240" w:lineRule="auto"/>
              <w:contextualSpacing w:val="0"/>
            </w:pPr>
          </w:p>
          <w:p w14:paraId="1CE5BBD0" w14:textId="1BB1D23C" w:rsidR="00AE2A62" w:rsidRDefault="00AE2A62">
            <w:pPr>
              <w:spacing w:after="0" w:line="240" w:lineRule="auto"/>
              <w:contextualSpacing w:val="0"/>
            </w:pPr>
            <w:r w:rsidRPr="0094229D">
              <w:t>If a mixture formulation is more toxic than the technical formulation</w:t>
            </w:r>
            <w:r w:rsidR="008033B3" w:rsidRPr="0094229D">
              <w:t xml:space="preserve"> (</w:t>
            </w:r>
            <w:r w:rsidR="008033B3" w:rsidRPr="0094229D">
              <w:rPr>
                <w:i/>
              </w:rPr>
              <w:t>i.e</w:t>
            </w:r>
            <w:r w:rsidR="008033B3" w:rsidRPr="0094229D">
              <w:t>., CIs do not overlap)</w:t>
            </w:r>
            <w:r w:rsidRPr="0094229D">
              <w:t xml:space="preserve">, then the conclusion </w:t>
            </w:r>
            <w:r w:rsidRPr="0094229D">
              <w:rPr>
                <w:color w:val="FF0000"/>
              </w:rPr>
              <w:t>"Formulation more toxic than single AI"</w:t>
            </w:r>
            <w:r w:rsidRPr="0094229D">
              <w:t xml:space="preserve"> will be highlight</w:t>
            </w:r>
            <w:r w:rsidR="0094229D">
              <w:t>ed</w:t>
            </w:r>
            <w:r w:rsidRPr="0094229D">
              <w:t xml:space="preserve"> red with red text.</w:t>
            </w:r>
            <w:r w:rsidR="004F4A74">
              <w:t xml:space="preserve"> See </w:t>
            </w:r>
            <w:r w:rsidR="004F4A74" w:rsidRPr="004F4A74">
              <w:rPr>
                <w:b/>
              </w:rPr>
              <w:t>Tables B 1-11.1</w:t>
            </w:r>
            <w:r w:rsidR="004F4A74">
              <w:t xml:space="preserve">, </w:t>
            </w:r>
            <w:r w:rsidR="004F4A74" w:rsidRPr="004F4A74">
              <w:rPr>
                <w:b/>
              </w:rPr>
              <w:t>B 1-11.2</w:t>
            </w:r>
            <w:r w:rsidR="004F4A74">
              <w:t xml:space="preserve">, and </w:t>
            </w:r>
            <w:r w:rsidR="004F4A74" w:rsidRPr="004F4A74">
              <w:rPr>
                <w:b/>
              </w:rPr>
              <w:t>B 1-11.3</w:t>
            </w:r>
            <w:r w:rsidR="004F4A74">
              <w:t>.</w:t>
            </w:r>
          </w:p>
        </w:tc>
      </w:tr>
    </w:tbl>
    <w:p w14:paraId="4D564981" w14:textId="77777777" w:rsidR="00AE67D3" w:rsidRDefault="00AE67D3">
      <w:pPr>
        <w:spacing w:after="0" w:line="240" w:lineRule="auto"/>
      </w:pPr>
    </w:p>
    <w:p w14:paraId="024EAC97" w14:textId="6C8584F9" w:rsidR="00AE67D3" w:rsidRDefault="00546B1F">
      <w:pPr>
        <w:spacing w:after="0" w:line="240" w:lineRule="auto"/>
      </w:pPr>
      <w:r>
        <w:rPr>
          <w:b/>
        </w:rPr>
        <w:t xml:space="preserve">Table </w:t>
      </w:r>
      <w:r w:rsidR="004F4A74">
        <w:rPr>
          <w:b/>
        </w:rPr>
        <w:t>B 1-11.1</w:t>
      </w:r>
      <w:r>
        <w:rPr>
          <w:b/>
        </w:rPr>
        <w:t>.  Rat LD</w:t>
      </w:r>
      <w:r>
        <w:rPr>
          <w:b/>
          <w:vertAlign w:val="subscript"/>
        </w:rPr>
        <w:t>50</w:t>
      </w:r>
      <w:r w:rsidR="004F4A74">
        <w:rPr>
          <w:b/>
        </w:rPr>
        <w:t xml:space="preserve"> comparison for technical grade chlorpyrifos and multi-a.i. formulations that contain chlorpyrifos</w:t>
      </w:r>
    </w:p>
    <w:tbl>
      <w:tblPr>
        <w:tblStyle w:val="a0"/>
        <w:tblW w:w="13320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440"/>
        <w:gridCol w:w="1170"/>
        <w:gridCol w:w="1440"/>
        <w:gridCol w:w="1116"/>
        <w:gridCol w:w="900"/>
        <w:gridCol w:w="900"/>
        <w:gridCol w:w="1139"/>
        <w:gridCol w:w="1260"/>
        <w:gridCol w:w="1260"/>
        <w:gridCol w:w="1350"/>
      </w:tblGrid>
      <w:tr w:rsidR="00AE67D3" w:rsidRPr="00FC0EE2" w14:paraId="708AF75B" w14:textId="77777777" w:rsidTr="00FC0EE2">
        <w:trPr>
          <w:trHeight w:val="647"/>
          <w:tblHeader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FBE5A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Current Registration No.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63D97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5B1D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Percent Active Ingredient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4FCE4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Active Ingredient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6AAF9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MRID(s) for Acute Oral Study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B48C" w14:textId="68B3000A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Male Oral LD50 (mg/kg) (CI)</w:t>
            </w:r>
            <w:r w:rsidR="001D3E6A" w:rsidRPr="00FC0EE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05181" w14:textId="36156D54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Female Oral LD50 (mg/kg) (CI)</w:t>
            </w:r>
            <w:r w:rsidR="001D3E6A" w:rsidRPr="00FC0EE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3720B" w14:textId="6F10065B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Combined Oral LD50 (mg/kg) (CI)</w:t>
            </w:r>
            <w:r w:rsidR="001D3E6A" w:rsidRPr="00FC0EE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AE1F7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Is Formulation more toxic to males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BB5FE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Is Formulation more toxic to females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B1B574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Is formulation more toxic to combined sexes</w:t>
            </w:r>
          </w:p>
        </w:tc>
      </w:tr>
      <w:tr w:rsidR="00AE67D3" w:rsidRPr="00FC0EE2" w14:paraId="275E773A" w14:textId="77777777" w:rsidTr="00FC0EE2">
        <w:trPr>
          <w:trHeight w:val="64"/>
          <w:jc w:val="center"/>
        </w:trPr>
        <w:tc>
          <w:tcPr>
            <w:tcW w:w="13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0648F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LD50 Information on Technicals</w:t>
            </w:r>
          </w:p>
        </w:tc>
      </w:tr>
      <w:tr w:rsidR="00AE67D3" w:rsidRPr="00FC0EE2" w14:paraId="5A1BDCCD" w14:textId="77777777" w:rsidTr="00FC0EE2">
        <w:trPr>
          <w:trHeight w:val="64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0A52A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4787-40</w:t>
            </w:r>
          </w:p>
          <w:p w14:paraId="0F9D25D6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33AC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 TECHNICAL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8186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98.50%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D668F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463CD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46066201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58B5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276 (167 – 455)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F303D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350 (285 – 429)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A97D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320 (260 – 393)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0EBF95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D899BD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08E9CA2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E67D3" w:rsidRPr="00FC0EE2" w14:paraId="48F6EAB1" w14:textId="77777777" w:rsidTr="00FC0EE2">
        <w:trPr>
          <w:trHeight w:val="6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2782A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62719-44</w:t>
            </w:r>
            <w:r w:rsidRPr="00FC0EE2">
              <w:rPr>
                <w:rFonts w:asciiTheme="minorHAnsi" w:hAnsiTheme="minorHAnsi"/>
                <w:sz w:val="20"/>
                <w:szCs w:val="20"/>
              </w:rPr>
              <w:br/>
              <w:t>62719-15</w:t>
            </w:r>
          </w:p>
          <w:p w14:paraId="65F8DF56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CDEA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 xml:space="preserve">DURSBAN F INSECTIDAL </w:t>
            </w:r>
            <w:r w:rsidRPr="00FC0EE2">
              <w:rPr>
                <w:rFonts w:asciiTheme="minorHAnsi" w:hAnsiTheme="minorHAnsi"/>
                <w:sz w:val="20"/>
                <w:szCs w:val="20"/>
              </w:rPr>
              <w:lastRenderedPageBreak/>
              <w:t>CHEMICAL</w:t>
            </w:r>
            <w:r w:rsidRPr="00FC0EE2">
              <w:rPr>
                <w:rFonts w:asciiTheme="minorHAnsi" w:hAnsiTheme="minorHAnsi"/>
                <w:sz w:val="20"/>
                <w:szCs w:val="20"/>
              </w:rPr>
              <w:br/>
              <w:t>DURSBAN 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68288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lastRenderedPageBreak/>
              <w:t>97.60%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AA1C1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C36D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44209101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B144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223 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0402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223 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A698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82EDA2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7872CA0C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BE390D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9F89F5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7C348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E67D3" w:rsidRPr="00FC0EE2" w14:paraId="7A0C3E96" w14:textId="77777777">
        <w:trPr>
          <w:trHeight w:val="60"/>
          <w:jc w:val="center"/>
        </w:trPr>
        <w:tc>
          <w:tcPr>
            <w:tcW w:w="13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5A1F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b/>
                <w:sz w:val="20"/>
                <w:szCs w:val="20"/>
              </w:rPr>
              <w:t xml:space="preserve">LD50 Information   </w:t>
            </w:r>
          </w:p>
        </w:tc>
      </w:tr>
      <w:tr w:rsidR="00AE67D3" w:rsidRPr="00FC0EE2" w14:paraId="56E75FCC" w14:textId="77777777" w:rsidTr="00FC0EE2">
        <w:trPr>
          <w:trHeight w:val="296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9ECD7" w14:textId="77777777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14:paraId="578FC0C2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1381-243</w:t>
            </w:r>
          </w:p>
          <w:p w14:paraId="40E2A559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EE1D20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TUNDRA SUPREME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E02DA4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43BE5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Bifenthrin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E95683" w14:textId="6DB2BCBB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47792103</w:t>
            </w:r>
            <w:r w:rsidR="00FC0EE2" w:rsidRPr="00FC0EE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8A9B2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0982DDC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7C837D33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002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98 (55 – 175)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E482A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98 (55 – 175)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3453B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3B755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D1BFC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</w:tr>
      <w:tr w:rsidR="00AE67D3" w:rsidRPr="00FC0EE2" w14:paraId="2D2F6294" w14:textId="77777777" w:rsidTr="00FC0EE2">
        <w:trPr>
          <w:trHeight w:val="64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40F79" w14:textId="227D0079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24A8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TUNDRA SUPREME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21861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28.60%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DF3F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2372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64F6A" w14:textId="2D549B4E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36215" w14:textId="3F1C2E6B" w:rsidR="00AE67D3" w:rsidRPr="00FC0EE2" w:rsidRDefault="00546B1F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327BE" w14:textId="2FEC02CF" w:rsidR="00AE67D3" w:rsidRPr="00FC0EE2" w:rsidRDefault="00546B1F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869C8" w14:textId="0C347F57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EFB9F" w14:textId="5505F2AA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7ADB2" w14:textId="603B373A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7D3" w:rsidRPr="00FC0EE2" w14:paraId="47CAB0B7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5843C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279-9545</w:t>
            </w:r>
          </w:p>
          <w:p w14:paraId="390EBBAD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42B970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F9047-2 EC INSECTICIDE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D0AC24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3.08%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68D29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Zeta-Cypermethrin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63F241" w14:textId="667E02CF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48139402</w:t>
            </w:r>
            <w:r w:rsidR="00FC0EE2" w:rsidRPr="00FC0EE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163B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796AE427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4BF9E5D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B025F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98.11 (55 – 175)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6ACEA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98.11 (55 – 175)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3B8A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CEF40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36D7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</w:tr>
      <w:tr w:rsidR="00AE67D3" w:rsidRPr="00FC0EE2" w14:paraId="459DC2C3" w14:textId="77777777" w:rsidTr="00FC0EE2">
        <w:trPr>
          <w:trHeight w:val="48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A317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4477E1DE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0DA5D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F9047-2 EC INSECTICIDE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FE0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30.80%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EF6A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97A26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FEBF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757BDC0F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2BB62549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227C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5D54B507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B1C069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F4114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2E07A4D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68C0B43C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F60F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2D7C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8B46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E67D3" w:rsidRPr="00FC0EE2" w14:paraId="5615E358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5898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34704-1086</w:t>
            </w:r>
          </w:p>
          <w:p w14:paraId="16BA0651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911814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MATCH-UP INSECTICIDE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55C27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12D567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Bifenthrin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91BFC3" w14:textId="7F75B8C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49158604</w:t>
            </w:r>
            <w:r w:rsidR="00FC0EE2" w:rsidRPr="00FC0EE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67288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5114AB5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20FD0916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4F7C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550 (197 – 863)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00E41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550 (197 – 863)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FB505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05FC0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627E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</w:tr>
      <w:tr w:rsidR="00AE67D3" w:rsidRPr="00FC0EE2" w14:paraId="40CE562F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11EF1" w14:textId="2D9D8392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D082D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MATCH-UP INSECTICIDE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F6D4E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28.60%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123B4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3661E" w14:textId="77777777" w:rsidR="00AE67D3" w:rsidRPr="00FC0EE2" w:rsidRDefault="00546B1F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0505" w14:textId="3D4AEE86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D817E" w14:textId="613A8373" w:rsidR="00AE67D3" w:rsidRPr="00FC0EE2" w:rsidRDefault="00546B1F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96E72" w14:textId="25261614" w:rsidR="00AE67D3" w:rsidRPr="00FC0EE2" w:rsidRDefault="00546B1F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EE854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39AFC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D7F6D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E67D3" w:rsidRPr="00FC0EE2" w14:paraId="5EB54E59" w14:textId="77777777" w:rsidTr="00FC0EE2">
        <w:trPr>
          <w:trHeight w:val="44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D1DE5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499-405</w:t>
            </w:r>
          </w:p>
          <w:p w14:paraId="4600A55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D401EE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WHITMIRE PT 1920 TOTAL RELEASE INSECTICIDE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5ABC9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1.60%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01980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Cyfluthrin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319CE8" w14:textId="61D1C8F1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42906302</w:t>
            </w:r>
            <w:r w:rsidR="0053490E" w:rsidRPr="0053490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D46D3" w14:textId="4DD73085" w:rsidR="00AE67D3" w:rsidRPr="00FC0EE2" w:rsidRDefault="00483AF0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920 (530 – 1590)</w:t>
            </w:r>
            <w:r w:rsidR="00546B1F"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2DEA0" w14:textId="636D44A6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340</w:t>
            </w:r>
            <w:r w:rsidR="00483AF0" w:rsidRPr="00FC0EE2">
              <w:rPr>
                <w:rFonts w:asciiTheme="minorHAnsi" w:hAnsiTheme="minorHAnsi"/>
                <w:sz w:val="20"/>
                <w:szCs w:val="20"/>
              </w:rPr>
              <w:t xml:space="preserve"> (160 – 730)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36F07" w14:textId="66E32DC0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630</w:t>
            </w:r>
            <w:r w:rsidR="00483AF0" w:rsidRPr="00FC0EE2">
              <w:rPr>
                <w:rFonts w:asciiTheme="minorHAnsi" w:hAnsiTheme="minorHAnsi"/>
                <w:sz w:val="20"/>
                <w:szCs w:val="20"/>
              </w:rPr>
              <w:t xml:space="preserve"> (450 – 880)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77571D48" w14:textId="75A3CC4C" w:rsidR="00AE67D3" w:rsidRPr="00FC0EE2" w:rsidRDefault="00483AF0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color w:val="C00000"/>
                <w:sz w:val="20"/>
                <w:szCs w:val="20"/>
              </w:rPr>
              <w:t>Formulation more toxic than single a.i.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640B46C5" w14:textId="298E462D" w:rsidR="00AE67D3" w:rsidRPr="00FC0EE2" w:rsidRDefault="00483AF0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color w:val="C00000"/>
                <w:sz w:val="20"/>
                <w:szCs w:val="20"/>
              </w:rPr>
              <w:t>Formulation more toxic than single a.i.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1FA6D7E6" w14:textId="5226E60B" w:rsidR="00AE67D3" w:rsidRPr="00FC0EE2" w:rsidRDefault="00483AF0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color w:val="C00000"/>
                <w:sz w:val="20"/>
                <w:szCs w:val="20"/>
              </w:rPr>
              <w:t>Formulation more toxic than single a.i.</w:t>
            </w:r>
          </w:p>
        </w:tc>
      </w:tr>
      <w:tr w:rsidR="00AE67D3" w:rsidRPr="00FC0EE2" w14:paraId="53DAE229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843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F5C5B05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CA04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 xml:space="preserve">WHITMIRE PT 1920 TOTAL </w:t>
            </w:r>
            <w:r w:rsidRPr="00FC0EE2">
              <w:rPr>
                <w:rFonts w:asciiTheme="minorHAnsi" w:hAnsiTheme="minorHAnsi"/>
                <w:sz w:val="20"/>
                <w:szCs w:val="20"/>
              </w:rPr>
              <w:lastRenderedPageBreak/>
              <w:t>RELEASE INSECTICIDE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D153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lastRenderedPageBreak/>
              <w:t>8.00%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2AD07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B02C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75E86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52323304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6ADBEF5A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A33CD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75220CB9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64EF976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4FF3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67F57D7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4E59A6CD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0DC30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C15D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FBB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E67D3" w:rsidRPr="00FC0EE2" w14:paraId="3F913E18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31A76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62719-575</w:t>
            </w:r>
          </w:p>
          <w:p w14:paraId="50BAD2FE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3D47F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COBALT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FECBF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0.54%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E27DAB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gamma-Cyhalothrin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FBEDE7" w14:textId="1A22503F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47006403</w:t>
            </w:r>
            <w:r w:rsidR="00FC0EE2" w:rsidRPr="00FC0EE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27628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24DBC210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DB09803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6769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320 (0 – 20000)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FE31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7A8D3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45470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7FF7D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</w:tr>
      <w:tr w:rsidR="00AE67D3" w:rsidRPr="00FC0EE2" w14:paraId="59C99F37" w14:textId="77777777" w:rsidTr="00FC0EE2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53A98" w14:textId="7D1CB941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5C4AA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COBALT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699B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46AF4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C3AA9" w14:textId="4782A5FC" w:rsidR="00AE67D3" w:rsidRPr="00FC0EE2" w:rsidRDefault="00546B1F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D3B90" w14:textId="68BC1E6A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BAD6E" w14:textId="279BACEB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B8947" w14:textId="5118DA22" w:rsidR="00AE67D3" w:rsidRPr="00FC0EE2" w:rsidRDefault="00546B1F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E3930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4E2D2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59D9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C0EE2" w:rsidRPr="00FC0EE2" w14:paraId="5371BAA6" w14:textId="77777777" w:rsidTr="00FC0EE2">
        <w:trPr>
          <w:trHeight w:val="12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DE277" w14:textId="77777777" w:rsidR="00FC0EE2" w:rsidRPr="00FC0EE2" w:rsidRDefault="00FC0EE2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0F15AEC6" w14:textId="77777777" w:rsidR="00FC0EE2" w:rsidRPr="00FC0EE2" w:rsidRDefault="00FC0EE2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DE969B" w14:textId="77777777" w:rsidR="00FC0EE2" w:rsidRPr="00FC0EE2" w:rsidRDefault="00FC0EE2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COBALT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448662" w14:textId="77777777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0.54%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E441C8" w14:textId="77777777" w:rsidR="00FC0EE2" w:rsidRPr="00FC0EE2" w:rsidRDefault="00FC0EE2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gamma-Cyhalothrin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BC69F3" w14:textId="48616438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47006409</w:t>
            </w:r>
            <w:r w:rsidRPr="00FC0EE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14:paraId="4C397661" w14:textId="77777777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3EAE" w14:textId="77777777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53947213" w14:textId="77777777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00E92D14" w14:textId="77777777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31A81" w14:textId="77777777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320 (0 – 20000)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9038" w14:textId="77777777" w:rsidR="00FC0EE2" w:rsidRPr="00FC0EE2" w:rsidRDefault="00FC0EE2" w:rsidP="00FC0EE2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9304" w14:textId="77777777" w:rsidR="00FC0EE2" w:rsidRPr="00FC0EE2" w:rsidRDefault="00FC0EE2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5DA5F" w14:textId="25A4A950" w:rsidR="00FC0EE2" w:rsidRPr="00FC0EE2" w:rsidRDefault="00FC0EE2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720C9" w14:textId="77777777" w:rsidR="00FC0EE2" w:rsidRPr="00FC0EE2" w:rsidRDefault="00FC0EE2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</w:tr>
      <w:tr w:rsidR="00AE67D3" w:rsidRPr="00FC0EE2" w14:paraId="5F4DA9E9" w14:textId="77777777" w:rsidTr="00FC0EE2">
        <w:trPr>
          <w:trHeight w:val="215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64A0A" w14:textId="0A69BF17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3721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COBALT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AA21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30.00%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963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4C015" w14:textId="28D55DBC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37CB" w14:textId="3B185D92" w:rsidR="00AE67D3" w:rsidRPr="00FC0EE2" w:rsidRDefault="00546B1F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D33E4" w14:textId="0358D0EA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75237" w14:textId="520D698D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14:paraId="0219E86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5FB95" w14:textId="67972528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14B24" w14:textId="2C794EB1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C5D8D" w14:textId="44CCAA00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7D3" w:rsidRPr="00FC0EE2" w14:paraId="3FC87887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C389F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62719-615</w:t>
            </w:r>
          </w:p>
          <w:p w14:paraId="5594F19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053926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Cobalt Advanced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6E33FB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1.44%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CD017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lambda-Cyhalothrin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BE37E6" w14:textId="727B6D86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47901103</w:t>
            </w:r>
            <w:r w:rsidR="00FC0EE2" w:rsidRPr="00FC0EE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3748E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5E4B4B1E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098DAE8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CD80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179.8 (101 – 320)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7F808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179.8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317EE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9FB2C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5AE9C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</w:tr>
      <w:tr w:rsidR="00AE67D3" w:rsidRPr="00FC0EE2" w14:paraId="2B1CE14F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70DD07" w14:textId="341D9DAB" w:rsidR="00AE67D3" w:rsidRPr="00FC0EE2" w:rsidRDefault="00AE67D3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DC4BDA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Cobalt Advanced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56E335" w14:textId="77777777" w:rsidR="00AE67D3" w:rsidRPr="00FC0EE2" w:rsidRDefault="00546B1F">
            <w:pPr>
              <w:spacing w:after="0" w:line="240" w:lineRule="auto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28.12%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572938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D50F53" w14:textId="6F36655C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947DBC" w14:textId="21B6EEFC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16E67B" w14:textId="42FAA6AE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F72DB8" w14:textId="2EDD452C" w:rsidR="00AE67D3" w:rsidRPr="00FC0EE2" w:rsidRDefault="00AE67D3" w:rsidP="00FC0EE2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A1C634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3DBB57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48DB95" w14:textId="77777777" w:rsidR="00AE67D3" w:rsidRPr="00FC0EE2" w:rsidRDefault="00546B1F">
            <w:p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72B17" w:rsidRPr="00FC0EE2" w14:paraId="7C2BC97F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A5BF" w14:textId="4E5DCCD8" w:rsidR="00872B17" w:rsidRPr="00FC0EE2" w:rsidRDefault="00872B17" w:rsidP="00872B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8329-36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B802F" w14:textId="399341B5" w:rsidR="00872B17" w:rsidRPr="00FC0EE2" w:rsidRDefault="00872B17" w:rsidP="00872B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ULV Mosquito Master 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513EDA" w14:textId="614C96F7" w:rsidR="00872B17" w:rsidRPr="00FC0EE2" w:rsidRDefault="00872B17" w:rsidP="00872B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4.00%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E4F861" w14:textId="5248763E" w:rsidR="00872B17" w:rsidRPr="00FC0EE2" w:rsidRDefault="00872B17" w:rsidP="00872B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Permethrin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196A24" w14:textId="60969DA3" w:rsidR="00872B17" w:rsidRPr="00FC0EE2" w:rsidRDefault="00872B17" w:rsidP="00872B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40969402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DD2B" w14:textId="12FFD07E" w:rsidR="00872B17" w:rsidRPr="00FC0EE2" w:rsidRDefault="00872B17" w:rsidP="00872B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2654 (1776 – 3966)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67849" w14:textId="4E401449" w:rsidR="00872B17" w:rsidRPr="00FC0EE2" w:rsidRDefault="00872B17" w:rsidP="00872B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1836 (1476 – 2285)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752B" w14:textId="0B5715C8" w:rsidR="00872B17" w:rsidRPr="00FC0EE2" w:rsidRDefault="00872B17" w:rsidP="00872B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2245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B4A2" w14:textId="12E15557" w:rsidR="00872B17" w:rsidRPr="00FC0EE2" w:rsidRDefault="00872B17" w:rsidP="00872B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Formulation not more toxic than single a.i.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DA685A9" w14:textId="38A7571C" w:rsidR="00872B17" w:rsidRPr="00FC0EE2" w:rsidRDefault="00872B17" w:rsidP="00872B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color w:val="C00000"/>
                <w:sz w:val="20"/>
                <w:szCs w:val="20"/>
              </w:rPr>
              <w:t>Formulation more toxic than single a.i.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AA4A" w14:textId="7E6F6778" w:rsidR="00872B17" w:rsidRPr="00FC0EE2" w:rsidRDefault="00872B17" w:rsidP="00872B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Insufficient data to establish different toxicity</w:t>
            </w:r>
          </w:p>
        </w:tc>
      </w:tr>
      <w:tr w:rsidR="00483AF0" w:rsidRPr="00FC0EE2" w14:paraId="680501A1" w14:textId="77777777" w:rsidTr="00FC0EE2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0062" w14:textId="77777777" w:rsidR="00483AF0" w:rsidRPr="00FC0EE2" w:rsidRDefault="00483A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5852B" w14:textId="77777777" w:rsidR="00483AF0" w:rsidRPr="00FC0EE2" w:rsidRDefault="00483A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AD18" w14:textId="40ED13AC" w:rsidR="00483AF0" w:rsidRPr="00FC0EE2" w:rsidRDefault="00872B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12.00%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4FE7" w14:textId="62187D95" w:rsidR="00483AF0" w:rsidRPr="00FC0EE2" w:rsidRDefault="00872B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0EE2">
              <w:rPr>
                <w:rFonts w:asciiTheme="minorHAnsi" w:hAnsiTheme="minorHAnsi"/>
                <w:sz w:val="20"/>
                <w:szCs w:val="20"/>
              </w:rPr>
              <w:t>Chlorpyrifos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371F" w14:textId="77777777" w:rsidR="00483AF0" w:rsidRPr="00FC0EE2" w:rsidRDefault="00483A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70D0" w14:textId="77777777" w:rsidR="00483AF0" w:rsidRPr="00FC0EE2" w:rsidRDefault="00483A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09927" w14:textId="77777777" w:rsidR="00483AF0" w:rsidRPr="00FC0EE2" w:rsidRDefault="00483A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52D8" w14:textId="77777777" w:rsidR="00483AF0" w:rsidRPr="00FC0EE2" w:rsidRDefault="00483A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14F8" w14:textId="77777777" w:rsidR="00483AF0" w:rsidRPr="00FC0EE2" w:rsidRDefault="00483A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C222B" w14:textId="77777777" w:rsidR="00483AF0" w:rsidRPr="00FC0EE2" w:rsidRDefault="00483A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AEAD" w14:textId="77777777" w:rsidR="00483AF0" w:rsidRPr="00FC0EE2" w:rsidRDefault="00483A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D0BEE7" w14:textId="7EE6BA01" w:rsidR="001D3E6A" w:rsidRPr="00424BF7" w:rsidRDefault="001D3E6A">
      <w:pPr>
        <w:spacing w:after="0" w:line="240" w:lineRule="auto"/>
        <w:rPr>
          <w:sz w:val="20"/>
          <w:szCs w:val="20"/>
        </w:rPr>
      </w:pPr>
      <w:r w:rsidRPr="00424BF7">
        <w:rPr>
          <w:sz w:val="20"/>
          <w:szCs w:val="20"/>
          <w:vertAlign w:val="superscript"/>
        </w:rPr>
        <w:t>1</w:t>
      </w:r>
      <w:r w:rsidRPr="00424BF7">
        <w:rPr>
          <w:sz w:val="20"/>
          <w:szCs w:val="20"/>
        </w:rPr>
        <w:t xml:space="preserve"> Endpoints are based on percent a.i. of chlorpyrifos.</w:t>
      </w:r>
    </w:p>
    <w:p w14:paraId="39003203" w14:textId="6F101A94" w:rsidR="00FC0EE2" w:rsidRPr="00424BF7" w:rsidRDefault="00FC0EE2">
      <w:pPr>
        <w:spacing w:after="0" w:line="240" w:lineRule="auto"/>
        <w:rPr>
          <w:sz w:val="20"/>
          <w:szCs w:val="20"/>
        </w:rPr>
      </w:pPr>
      <w:r w:rsidRPr="00424BF7">
        <w:rPr>
          <w:sz w:val="20"/>
          <w:szCs w:val="20"/>
          <w:vertAlign w:val="superscript"/>
        </w:rPr>
        <w:t>2</w:t>
      </w:r>
      <w:r w:rsidRPr="00424BF7">
        <w:rPr>
          <w:sz w:val="20"/>
          <w:szCs w:val="20"/>
        </w:rPr>
        <w:t xml:space="preserve"> The results are from an up-and-down study (OECD Test Guideline 425 Acute Oral Toxicity-Up-and-Down Procedure).</w:t>
      </w:r>
    </w:p>
    <w:p w14:paraId="4816AC0E" w14:textId="28D36988" w:rsidR="0053490E" w:rsidRPr="00424BF7" w:rsidRDefault="0053490E">
      <w:pPr>
        <w:spacing w:after="0" w:line="240" w:lineRule="auto"/>
        <w:rPr>
          <w:sz w:val="20"/>
          <w:szCs w:val="20"/>
        </w:rPr>
      </w:pPr>
      <w:r w:rsidRPr="00424BF7">
        <w:rPr>
          <w:sz w:val="20"/>
          <w:szCs w:val="20"/>
          <w:vertAlign w:val="superscript"/>
        </w:rPr>
        <w:t>3</w:t>
      </w:r>
      <w:r w:rsidRPr="00424BF7">
        <w:rPr>
          <w:sz w:val="20"/>
          <w:szCs w:val="20"/>
        </w:rPr>
        <w:t xml:space="preserve"> This product is only for use in enclosed greenhouses.</w:t>
      </w:r>
    </w:p>
    <w:p w14:paraId="75E8533F" w14:textId="77777777" w:rsidR="00FC0EE2" w:rsidRDefault="00FC0EE2">
      <w:pPr>
        <w:rPr>
          <w:b/>
        </w:rPr>
      </w:pPr>
      <w:r>
        <w:rPr>
          <w:b/>
        </w:rPr>
        <w:br w:type="page"/>
      </w:r>
    </w:p>
    <w:p w14:paraId="2756A091" w14:textId="5CDC8230" w:rsidR="00AE67D3" w:rsidRPr="00FC0EE2" w:rsidRDefault="00546B1F" w:rsidP="00D73576">
      <w:pPr>
        <w:spacing w:after="0" w:line="240" w:lineRule="auto"/>
        <w:rPr>
          <w:b/>
        </w:rPr>
      </w:pPr>
      <w:r>
        <w:rPr>
          <w:b/>
        </w:rPr>
        <w:lastRenderedPageBreak/>
        <w:t xml:space="preserve">Table </w:t>
      </w:r>
      <w:r w:rsidR="004F4A74" w:rsidRPr="004F4A74">
        <w:rPr>
          <w:b/>
        </w:rPr>
        <w:t>B 1-11.2</w:t>
      </w:r>
      <w:r w:rsidR="004F4A74">
        <w:rPr>
          <w:b/>
        </w:rPr>
        <w:t>.  Intermediate calculations used to compare r</w:t>
      </w:r>
      <w:r>
        <w:rPr>
          <w:b/>
        </w:rPr>
        <w:t>at LD</w:t>
      </w:r>
      <w:r>
        <w:rPr>
          <w:b/>
          <w:vertAlign w:val="subscript"/>
        </w:rPr>
        <w:t>50</w:t>
      </w:r>
      <w:r w:rsidR="004F4A74">
        <w:rPr>
          <w:b/>
        </w:rPr>
        <w:t xml:space="preserve"> values for technical g</w:t>
      </w:r>
      <w:r>
        <w:rPr>
          <w:b/>
        </w:rPr>
        <w:t xml:space="preserve">rade </w:t>
      </w:r>
      <w:r w:rsidR="004A7D4C">
        <w:rPr>
          <w:b/>
        </w:rPr>
        <w:t xml:space="preserve">(TGAI) </w:t>
      </w:r>
      <w:r w:rsidR="004F4A74">
        <w:rPr>
          <w:b/>
        </w:rPr>
        <w:t>chlorpyrifos and multi-a.i. f</w:t>
      </w:r>
      <w:r>
        <w:rPr>
          <w:b/>
        </w:rPr>
        <w:t>ormula</w:t>
      </w:r>
      <w:r w:rsidR="004F4A74">
        <w:rPr>
          <w:b/>
        </w:rPr>
        <w:t>tions that contain chlorpyrifos – TGAI data</w:t>
      </w:r>
    </w:p>
    <w:tbl>
      <w:tblPr>
        <w:tblStyle w:val="a1"/>
        <w:tblW w:w="10390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30"/>
        <w:gridCol w:w="1180"/>
        <w:gridCol w:w="1420"/>
        <w:gridCol w:w="1260"/>
        <w:gridCol w:w="1460"/>
        <w:gridCol w:w="1460"/>
        <w:gridCol w:w="1420"/>
        <w:gridCol w:w="1160"/>
      </w:tblGrid>
      <w:tr w:rsidR="00AE67D3" w14:paraId="424F08CF" w14:textId="77777777">
        <w:trPr>
          <w:trHeight w:val="6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15A9EC9" w14:textId="77777777" w:rsidR="00AE67D3" w:rsidRDefault="00AE67D3">
            <w:pPr>
              <w:spacing w:after="0" w:line="240" w:lineRule="auto"/>
              <w:contextualSpacing w:val="0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C8A6321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Male LD50 Lower CI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409C838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%AI Corrected</w:t>
            </w:r>
            <w:r>
              <w:rPr>
                <w:b/>
                <w:sz w:val="20"/>
                <w:szCs w:val="20"/>
              </w:rPr>
              <w:br/>
              <w:t>Male LD50 Lower CI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36530760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Female LD50 Lower CI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A4ED19B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%AI Corrected</w:t>
            </w:r>
            <w:r>
              <w:rPr>
                <w:b/>
                <w:sz w:val="20"/>
                <w:szCs w:val="20"/>
              </w:rPr>
              <w:br/>
              <w:t>Female LD50 Lower CI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CCBF815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Combined LD50 Lower CI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7F91020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%AI Corrected</w:t>
            </w:r>
            <w:r>
              <w:rPr>
                <w:b/>
                <w:sz w:val="20"/>
                <w:szCs w:val="20"/>
              </w:rPr>
              <w:br/>
              <w:t>Combined LD50 Lower CI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EC74F1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%AI for Correction</w:t>
            </w:r>
          </w:p>
        </w:tc>
      </w:tr>
      <w:tr w:rsidR="00AE67D3" w14:paraId="7BB6D5D7" w14:textId="77777777">
        <w:trPr>
          <w:trHeight w:val="30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11BD12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Single AI Study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C8F4D81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167.00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9D3259" w14:textId="6AED71AF" w:rsidR="00AE67D3" w:rsidRDefault="001373AB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164.50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9A123B3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285.00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5E359AE" w14:textId="597080D6" w:rsidR="00AE67D3" w:rsidRDefault="001373AB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280.73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DF42A6A" w14:textId="77777777" w:rsidR="00AE67D3" w:rsidRDefault="00546B1F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260.00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0BD733" w14:textId="6F220E2B" w:rsidR="00AE67D3" w:rsidRDefault="001373AB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256.10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4B8193" w14:textId="77777777" w:rsidR="00AE67D3" w:rsidRDefault="00546B1F">
            <w:pPr>
              <w:spacing w:after="0" w:line="24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98.50%</w:t>
            </w:r>
          </w:p>
        </w:tc>
      </w:tr>
    </w:tbl>
    <w:p w14:paraId="3E844023" w14:textId="77777777" w:rsidR="00AE67D3" w:rsidRDefault="00AE67D3">
      <w:pPr>
        <w:spacing w:after="0" w:line="240" w:lineRule="auto"/>
      </w:pPr>
    </w:p>
    <w:p w14:paraId="1E5B45EF" w14:textId="1133F2FD" w:rsidR="004A7D4C" w:rsidRDefault="004A7D4C">
      <w:pPr>
        <w:spacing w:after="0" w:line="240" w:lineRule="auto"/>
        <w:rPr>
          <w:b/>
        </w:rPr>
      </w:pPr>
      <w:r>
        <w:rPr>
          <w:b/>
        </w:rPr>
        <w:t xml:space="preserve">Table </w:t>
      </w:r>
      <w:r w:rsidR="004F4A74">
        <w:rPr>
          <w:b/>
        </w:rPr>
        <w:t>B 1-11.3</w:t>
      </w:r>
      <w:r>
        <w:rPr>
          <w:b/>
        </w:rPr>
        <w:t>.  Intermediate</w:t>
      </w:r>
      <w:r w:rsidR="004F4A74">
        <w:rPr>
          <w:b/>
        </w:rPr>
        <w:t xml:space="preserve"> calculations used to compare r</w:t>
      </w:r>
      <w:r>
        <w:rPr>
          <w:b/>
        </w:rPr>
        <w:t>at LD</w:t>
      </w:r>
      <w:r>
        <w:rPr>
          <w:b/>
          <w:vertAlign w:val="subscript"/>
        </w:rPr>
        <w:t>50</w:t>
      </w:r>
      <w:r w:rsidR="004F4A74">
        <w:rPr>
          <w:b/>
        </w:rPr>
        <w:t xml:space="preserve"> values for technical grade (TGAI) chlorpyrifos and multi-a.i. formulations that contain chlorpyrifos – formulated product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142008" w14:paraId="38B1DB56" w14:textId="77777777" w:rsidTr="00766B0E">
        <w:tc>
          <w:tcPr>
            <w:tcW w:w="1438" w:type="dxa"/>
          </w:tcPr>
          <w:p w14:paraId="2B21D3C8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Male LD50 Upper CI</w:t>
            </w:r>
          </w:p>
        </w:tc>
        <w:tc>
          <w:tcPr>
            <w:tcW w:w="1439" w:type="dxa"/>
          </w:tcPr>
          <w:p w14:paraId="4BC65814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%AI Corrected</w:t>
            </w:r>
            <w:r w:rsidRPr="001D23F1">
              <w:rPr>
                <w:b/>
                <w:bCs/>
                <w:sz w:val="20"/>
                <w:szCs w:val="20"/>
              </w:rPr>
              <w:br/>
              <w:t>Male LD50 Upper CI</w:t>
            </w:r>
          </w:p>
        </w:tc>
        <w:tc>
          <w:tcPr>
            <w:tcW w:w="1439" w:type="dxa"/>
          </w:tcPr>
          <w:p w14:paraId="132DC87E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Female LD50 Upper CI</w:t>
            </w:r>
          </w:p>
        </w:tc>
        <w:tc>
          <w:tcPr>
            <w:tcW w:w="1439" w:type="dxa"/>
          </w:tcPr>
          <w:p w14:paraId="5E71395A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%AI Corrected</w:t>
            </w:r>
            <w:r w:rsidRPr="001D23F1">
              <w:rPr>
                <w:b/>
                <w:bCs/>
                <w:sz w:val="20"/>
                <w:szCs w:val="20"/>
              </w:rPr>
              <w:br/>
              <w:t>Female LD50 Upper CI</w:t>
            </w:r>
          </w:p>
        </w:tc>
        <w:tc>
          <w:tcPr>
            <w:tcW w:w="1439" w:type="dxa"/>
          </w:tcPr>
          <w:p w14:paraId="38B218A6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Combined LD50 Upper CI</w:t>
            </w:r>
          </w:p>
        </w:tc>
        <w:tc>
          <w:tcPr>
            <w:tcW w:w="1439" w:type="dxa"/>
          </w:tcPr>
          <w:p w14:paraId="236861D0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%AI Corrected</w:t>
            </w:r>
            <w:r w:rsidRPr="001D23F1">
              <w:rPr>
                <w:b/>
                <w:bCs/>
                <w:sz w:val="20"/>
                <w:szCs w:val="20"/>
              </w:rPr>
              <w:br/>
              <w:t>Combined LD50 Upper CI</w:t>
            </w:r>
          </w:p>
        </w:tc>
        <w:tc>
          <w:tcPr>
            <w:tcW w:w="1439" w:type="dxa"/>
          </w:tcPr>
          <w:p w14:paraId="767D234E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Reg No. &amp; AI</w:t>
            </w:r>
          </w:p>
        </w:tc>
        <w:tc>
          <w:tcPr>
            <w:tcW w:w="1439" w:type="dxa"/>
          </w:tcPr>
          <w:p w14:paraId="39C050C3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%AI</w:t>
            </w:r>
          </w:p>
        </w:tc>
        <w:tc>
          <w:tcPr>
            <w:tcW w:w="1439" w:type="dxa"/>
          </w:tcPr>
          <w:p w14:paraId="21E71232" w14:textId="77777777" w:rsidR="00142008" w:rsidRDefault="00142008" w:rsidP="00766B0E">
            <w:r w:rsidRPr="001D23F1">
              <w:rPr>
                <w:b/>
                <w:bCs/>
                <w:sz w:val="20"/>
                <w:szCs w:val="20"/>
              </w:rPr>
              <w:t>%AI for Correction</w:t>
            </w:r>
          </w:p>
        </w:tc>
      </w:tr>
      <w:tr w:rsidR="00142008" w14:paraId="38F59ECD" w14:textId="77777777" w:rsidTr="00766B0E">
        <w:tc>
          <w:tcPr>
            <w:tcW w:w="1438" w:type="dxa"/>
          </w:tcPr>
          <w:p w14:paraId="1A383D8C" w14:textId="77777777" w:rsidR="00142008" w:rsidRDefault="00142008" w:rsidP="00766B0E">
            <w:r w:rsidRPr="001D23F1">
              <w:rPr>
                <w:sz w:val="20"/>
                <w:szCs w:val="20"/>
              </w:rPr>
              <w:t>1590.00</w:t>
            </w:r>
          </w:p>
        </w:tc>
        <w:tc>
          <w:tcPr>
            <w:tcW w:w="1439" w:type="dxa"/>
          </w:tcPr>
          <w:p w14:paraId="7A9DEC63" w14:textId="77777777" w:rsidR="00142008" w:rsidRDefault="00142008" w:rsidP="00766B0E">
            <w:r w:rsidRPr="001D23F1">
              <w:rPr>
                <w:sz w:val="20"/>
                <w:szCs w:val="20"/>
              </w:rPr>
              <w:t>127.200</w:t>
            </w:r>
          </w:p>
        </w:tc>
        <w:tc>
          <w:tcPr>
            <w:tcW w:w="1439" w:type="dxa"/>
          </w:tcPr>
          <w:p w14:paraId="17828B94" w14:textId="77777777" w:rsidR="00142008" w:rsidRDefault="00142008" w:rsidP="00766B0E">
            <w:r w:rsidRPr="001D23F1">
              <w:rPr>
                <w:sz w:val="20"/>
                <w:szCs w:val="20"/>
              </w:rPr>
              <w:t>730.00</w:t>
            </w:r>
          </w:p>
        </w:tc>
        <w:tc>
          <w:tcPr>
            <w:tcW w:w="1439" w:type="dxa"/>
          </w:tcPr>
          <w:p w14:paraId="063158C1" w14:textId="77777777" w:rsidR="00142008" w:rsidRDefault="00142008" w:rsidP="00766B0E">
            <w:r w:rsidRPr="001D23F1">
              <w:rPr>
                <w:sz w:val="20"/>
                <w:szCs w:val="20"/>
              </w:rPr>
              <w:t>58.40</w:t>
            </w:r>
          </w:p>
        </w:tc>
        <w:tc>
          <w:tcPr>
            <w:tcW w:w="1439" w:type="dxa"/>
          </w:tcPr>
          <w:p w14:paraId="2E268921" w14:textId="77777777" w:rsidR="00142008" w:rsidRDefault="00142008" w:rsidP="00766B0E">
            <w:r w:rsidRPr="001D23F1">
              <w:rPr>
                <w:sz w:val="20"/>
                <w:szCs w:val="20"/>
              </w:rPr>
              <w:t>880.00</w:t>
            </w:r>
          </w:p>
        </w:tc>
        <w:tc>
          <w:tcPr>
            <w:tcW w:w="1439" w:type="dxa"/>
          </w:tcPr>
          <w:p w14:paraId="1767867D" w14:textId="77777777" w:rsidR="00142008" w:rsidRDefault="00142008" w:rsidP="00766B0E">
            <w:r w:rsidRPr="001D23F1">
              <w:rPr>
                <w:sz w:val="20"/>
                <w:szCs w:val="20"/>
              </w:rPr>
              <w:t>70.40</w:t>
            </w:r>
          </w:p>
        </w:tc>
        <w:tc>
          <w:tcPr>
            <w:tcW w:w="1439" w:type="dxa"/>
          </w:tcPr>
          <w:p w14:paraId="799F3888" w14:textId="77777777" w:rsidR="00142008" w:rsidRDefault="00142008" w:rsidP="00766B0E">
            <w:r w:rsidRPr="001D23F1">
              <w:rPr>
                <w:sz w:val="20"/>
                <w:szCs w:val="20"/>
              </w:rPr>
              <w:t>499-405</w:t>
            </w:r>
            <w:r>
              <w:rPr>
                <w:sz w:val="20"/>
                <w:szCs w:val="20"/>
              </w:rPr>
              <w:t xml:space="preserve"> </w:t>
            </w:r>
            <w:r w:rsidRPr="001D23F1">
              <w:rPr>
                <w:sz w:val="20"/>
                <w:szCs w:val="20"/>
              </w:rPr>
              <w:t>Cyfluthrin</w:t>
            </w:r>
          </w:p>
        </w:tc>
        <w:tc>
          <w:tcPr>
            <w:tcW w:w="1439" w:type="dxa"/>
          </w:tcPr>
          <w:p w14:paraId="6C48B26A" w14:textId="77777777" w:rsidR="00142008" w:rsidRDefault="00142008" w:rsidP="00766B0E">
            <w:r w:rsidRPr="001D23F1">
              <w:rPr>
                <w:sz w:val="20"/>
                <w:szCs w:val="20"/>
              </w:rPr>
              <w:t>1.60</w:t>
            </w:r>
          </w:p>
        </w:tc>
        <w:tc>
          <w:tcPr>
            <w:tcW w:w="1439" w:type="dxa"/>
          </w:tcPr>
          <w:p w14:paraId="3BF173D6" w14:textId="77777777" w:rsidR="00142008" w:rsidRDefault="00142008" w:rsidP="00766B0E">
            <w:r w:rsidRPr="001D23F1">
              <w:rPr>
                <w:sz w:val="20"/>
                <w:szCs w:val="20"/>
              </w:rPr>
              <w:t>8.00</w:t>
            </w:r>
          </w:p>
        </w:tc>
      </w:tr>
      <w:tr w:rsidR="00142008" w14:paraId="10712F55" w14:textId="77777777" w:rsidTr="00766B0E">
        <w:tc>
          <w:tcPr>
            <w:tcW w:w="1438" w:type="dxa"/>
          </w:tcPr>
          <w:p w14:paraId="41D9F1F1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612391BA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2C9A6AFB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3B06F3EE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14C8B5A6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72ED6004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17897AEF" w14:textId="77777777" w:rsidR="00142008" w:rsidRDefault="00142008" w:rsidP="00766B0E">
            <w:r w:rsidRPr="001D23F1">
              <w:rPr>
                <w:sz w:val="20"/>
                <w:szCs w:val="20"/>
              </w:rPr>
              <w:t>499-405</w:t>
            </w:r>
            <w:r>
              <w:rPr>
                <w:sz w:val="20"/>
                <w:szCs w:val="20"/>
              </w:rPr>
              <w:t xml:space="preserve"> </w:t>
            </w:r>
            <w:r w:rsidRPr="001D23F1">
              <w:rPr>
                <w:sz w:val="20"/>
                <w:szCs w:val="20"/>
              </w:rPr>
              <w:t>Chlorpyrifos</w:t>
            </w:r>
          </w:p>
        </w:tc>
        <w:tc>
          <w:tcPr>
            <w:tcW w:w="1439" w:type="dxa"/>
          </w:tcPr>
          <w:p w14:paraId="103DD182" w14:textId="77777777" w:rsidR="00142008" w:rsidRDefault="00142008" w:rsidP="00766B0E">
            <w:r w:rsidRPr="001D23F1">
              <w:rPr>
                <w:sz w:val="20"/>
                <w:szCs w:val="20"/>
              </w:rPr>
              <w:t>8.00</w:t>
            </w:r>
          </w:p>
        </w:tc>
        <w:tc>
          <w:tcPr>
            <w:tcW w:w="1439" w:type="dxa"/>
          </w:tcPr>
          <w:p w14:paraId="2E9B21EC" w14:textId="77777777" w:rsidR="00142008" w:rsidRDefault="00142008" w:rsidP="00766B0E">
            <w:r w:rsidRPr="001D23F1">
              <w:rPr>
                <w:sz w:val="20"/>
                <w:szCs w:val="20"/>
              </w:rPr>
              <w:t>8.00</w:t>
            </w:r>
          </w:p>
        </w:tc>
      </w:tr>
      <w:tr w:rsidR="00142008" w14:paraId="768A782D" w14:textId="77777777" w:rsidTr="00766B0E">
        <w:tc>
          <w:tcPr>
            <w:tcW w:w="1438" w:type="dxa"/>
          </w:tcPr>
          <w:p w14:paraId="61318620" w14:textId="77777777" w:rsidR="00142008" w:rsidRDefault="00142008" w:rsidP="00766B0E">
            <w:r w:rsidRPr="001D23F1">
              <w:rPr>
                <w:sz w:val="20"/>
                <w:szCs w:val="20"/>
              </w:rPr>
              <w:t>3966.00</w:t>
            </w:r>
          </w:p>
        </w:tc>
        <w:tc>
          <w:tcPr>
            <w:tcW w:w="1439" w:type="dxa"/>
          </w:tcPr>
          <w:p w14:paraId="43F366F2" w14:textId="77777777" w:rsidR="00142008" w:rsidRDefault="00142008" w:rsidP="00766B0E">
            <w:r w:rsidRPr="001D23F1">
              <w:rPr>
                <w:sz w:val="20"/>
                <w:szCs w:val="20"/>
              </w:rPr>
              <w:t>475.920</w:t>
            </w:r>
          </w:p>
        </w:tc>
        <w:tc>
          <w:tcPr>
            <w:tcW w:w="1439" w:type="dxa"/>
          </w:tcPr>
          <w:p w14:paraId="6BC12C46" w14:textId="77777777" w:rsidR="00142008" w:rsidRDefault="00142008" w:rsidP="00766B0E">
            <w:r w:rsidRPr="001D23F1">
              <w:rPr>
                <w:sz w:val="20"/>
                <w:szCs w:val="20"/>
              </w:rPr>
              <w:t>2285.00</w:t>
            </w:r>
          </w:p>
        </w:tc>
        <w:tc>
          <w:tcPr>
            <w:tcW w:w="1439" w:type="dxa"/>
          </w:tcPr>
          <w:p w14:paraId="6CCC7BE1" w14:textId="77777777" w:rsidR="00142008" w:rsidRDefault="00142008" w:rsidP="00766B0E">
            <w:r w:rsidRPr="001D23F1">
              <w:rPr>
                <w:sz w:val="20"/>
                <w:szCs w:val="20"/>
              </w:rPr>
              <w:t>274.20</w:t>
            </w:r>
          </w:p>
        </w:tc>
        <w:tc>
          <w:tcPr>
            <w:tcW w:w="1439" w:type="dxa"/>
          </w:tcPr>
          <w:p w14:paraId="7BB949B7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0E4DEFBD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5EF2DBAF" w14:textId="77777777" w:rsidR="00142008" w:rsidRDefault="00142008" w:rsidP="00766B0E">
            <w:r w:rsidRPr="001D23F1">
              <w:rPr>
                <w:sz w:val="20"/>
                <w:szCs w:val="20"/>
              </w:rPr>
              <w:t>8329-36</w:t>
            </w:r>
            <w:r>
              <w:rPr>
                <w:sz w:val="20"/>
                <w:szCs w:val="20"/>
              </w:rPr>
              <w:t xml:space="preserve"> </w:t>
            </w:r>
            <w:r w:rsidRPr="001D23F1">
              <w:rPr>
                <w:sz w:val="20"/>
                <w:szCs w:val="20"/>
              </w:rPr>
              <w:t>Permethrin</w:t>
            </w:r>
          </w:p>
        </w:tc>
        <w:tc>
          <w:tcPr>
            <w:tcW w:w="1439" w:type="dxa"/>
          </w:tcPr>
          <w:p w14:paraId="25E2A0FE" w14:textId="77777777" w:rsidR="00142008" w:rsidRDefault="00142008" w:rsidP="00766B0E">
            <w:r w:rsidRPr="001D23F1">
              <w:rPr>
                <w:sz w:val="20"/>
                <w:szCs w:val="20"/>
              </w:rPr>
              <w:t>4.00</w:t>
            </w:r>
          </w:p>
        </w:tc>
        <w:tc>
          <w:tcPr>
            <w:tcW w:w="1439" w:type="dxa"/>
          </w:tcPr>
          <w:p w14:paraId="0246F0A4" w14:textId="77777777" w:rsidR="00142008" w:rsidRDefault="00142008" w:rsidP="00766B0E">
            <w:r w:rsidRPr="001D23F1">
              <w:rPr>
                <w:sz w:val="20"/>
                <w:szCs w:val="20"/>
              </w:rPr>
              <w:t>12.00</w:t>
            </w:r>
          </w:p>
        </w:tc>
      </w:tr>
      <w:tr w:rsidR="00142008" w14:paraId="11BCEEDA" w14:textId="77777777" w:rsidTr="00766B0E">
        <w:tc>
          <w:tcPr>
            <w:tcW w:w="1438" w:type="dxa"/>
          </w:tcPr>
          <w:p w14:paraId="393143D2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3203A83B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5159AA36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77E3BE18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77008ECF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6B739135" w14:textId="77777777" w:rsidR="00142008" w:rsidRDefault="00142008" w:rsidP="00766B0E">
            <w:r w:rsidRPr="001D23F1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</w:tcPr>
          <w:p w14:paraId="4B96A1C1" w14:textId="77777777" w:rsidR="00142008" w:rsidRDefault="00142008" w:rsidP="00766B0E">
            <w:r w:rsidRPr="001D23F1">
              <w:rPr>
                <w:sz w:val="20"/>
                <w:szCs w:val="20"/>
              </w:rPr>
              <w:t>8329-36</w:t>
            </w:r>
            <w:r>
              <w:rPr>
                <w:sz w:val="20"/>
                <w:szCs w:val="20"/>
              </w:rPr>
              <w:t xml:space="preserve"> </w:t>
            </w:r>
            <w:r w:rsidRPr="001D23F1">
              <w:rPr>
                <w:sz w:val="20"/>
                <w:szCs w:val="20"/>
              </w:rPr>
              <w:t>Chlorpyrifos</w:t>
            </w:r>
          </w:p>
        </w:tc>
        <w:tc>
          <w:tcPr>
            <w:tcW w:w="1439" w:type="dxa"/>
          </w:tcPr>
          <w:p w14:paraId="6CC83A8F" w14:textId="77777777" w:rsidR="00142008" w:rsidRDefault="00142008" w:rsidP="00766B0E">
            <w:r w:rsidRPr="001D23F1">
              <w:rPr>
                <w:sz w:val="20"/>
                <w:szCs w:val="20"/>
              </w:rPr>
              <w:t>12.00</w:t>
            </w:r>
          </w:p>
        </w:tc>
        <w:tc>
          <w:tcPr>
            <w:tcW w:w="1439" w:type="dxa"/>
          </w:tcPr>
          <w:p w14:paraId="587B6ACC" w14:textId="77777777" w:rsidR="00142008" w:rsidRDefault="00142008" w:rsidP="00766B0E">
            <w:r w:rsidRPr="001D23F1">
              <w:rPr>
                <w:sz w:val="20"/>
                <w:szCs w:val="20"/>
              </w:rPr>
              <w:t>12.00</w:t>
            </w:r>
          </w:p>
        </w:tc>
      </w:tr>
    </w:tbl>
    <w:p w14:paraId="614A9641" w14:textId="77777777" w:rsidR="00142008" w:rsidRDefault="00142008">
      <w:pPr>
        <w:spacing w:after="0" w:line="240" w:lineRule="auto"/>
        <w:rPr>
          <w:b/>
        </w:rPr>
      </w:pPr>
    </w:p>
    <w:p w14:paraId="0573160E" w14:textId="77777777" w:rsidR="00142008" w:rsidRDefault="00142008">
      <w:pPr>
        <w:spacing w:after="0" w:line="240" w:lineRule="auto"/>
      </w:pPr>
    </w:p>
    <w:p w14:paraId="1E103350" w14:textId="5E6398B2" w:rsidR="00AE67D3" w:rsidRDefault="00AE67D3"/>
    <w:sectPr w:rsidR="00AE67D3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5522" w14:textId="77777777" w:rsidR="00FA0AC3" w:rsidRDefault="00FA0AC3" w:rsidP="0036453A">
      <w:pPr>
        <w:spacing w:after="0" w:line="240" w:lineRule="auto"/>
      </w:pPr>
      <w:r>
        <w:separator/>
      </w:r>
    </w:p>
  </w:endnote>
  <w:endnote w:type="continuationSeparator" w:id="0">
    <w:p w14:paraId="59621E5E" w14:textId="77777777" w:rsidR="00FA0AC3" w:rsidRDefault="00FA0AC3" w:rsidP="0036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612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44086" w14:textId="3A51AF8C" w:rsidR="0036453A" w:rsidRDefault="0036453A">
        <w:pPr>
          <w:pStyle w:val="Footer"/>
          <w:jc w:val="center"/>
        </w:pPr>
        <w:r>
          <w:t xml:space="preserve">B11 (PF)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02923" w14:textId="77777777" w:rsidR="0036453A" w:rsidRDefault="0036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0327" w14:textId="77777777" w:rsidR="00FA0AC3" w:rsidRDefault="00FA0AC3" w:rsidP="0036453A">
      <w:pPr>
        <w:spacing w:after="0" w:line="240" w:lineRule="auto"/>
      </w:pPr>
      <w:r>
        <w:separator/>
      </w:r>
    </w:p>
  </w:footnote>
  <w:footnote w:type="continuationSeparator" w:id="0">
    <w:p w14:paraId="31498CFC" w14:textId="77777777" w:rsidR="00FA0AC3" w:rsidRDefault="00FA0AC3" w:rsidP="0036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D3"/>
    <w:rsid w:val="00071E7D"/>
    <w:rsid w:val="001373AB"/>
    <w:rsid w:val="00142008"/>
    <w:rsid w:val="001D3E6A"/>
    <w:rsid w:val="0036453A"/>
    <w:rsid w:val="003E7CE1"/>
    <w:rsid w:val="00406ABB"/>
    <w:rsid w:val="00424BF7"/>
    <w:rsid w:val="00480D30"/>
    <w:rsid w:val="00483AF0"/>
    <w:rsid w:val="004A7D4C"/>
    <w:rsid w:val="004F4A74"/>
    <w:rsid w:val="0053490E"/>
    <w:rsid w:val="00546B1F"/>
    <w:rsid w:val="00577E41"/>
    <w:rsid w:val="005D43F5"/>
    <w:rsid w:val="00701D05"/>
    <w:rsid w:val="007C248E"/>
    <w:rsid w:val="008033B3"/>
    <w:rsid w:val="00872B17"/>
    <w:rsid w:val="0094229D"/>
    <w:rsid w:val="00AE2A62"/>
    <w:rsid w:val="00AE67D3"/>
    <w:rsid w:val="00B54777"/>
    <w:rsid w:val="00C40567"/>
    <w:rsid w:val="00C67CDC"/>
    <w:rsid w:val="00CF6BBE"/>
    <w:rsid w:val="00D73576"/>
    <w:rsid w:val="00FA0AC3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AC75"/>
  <w15:docId w15:val="{2D66F66B-96CD-4815-9A0E-C74B783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7D4C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3A"/>
  </w:style>
  <w:style w:type="paragraph" w:styleId="Footer">
    <w:name w:val="footer"/>
    <w:basedOn w:val="Normal"/>
    <w:link w:val="FooterChar"/>
    <w:uiPriority w:val="99"/>
    <w:unhideWhenUsed/>
    <w:rsid w:val="0036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6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Panger, Melissa</dc:creator>
  <cp:lastModifiedBy>newuser</cp:lastModifiedBy>
  <cp:revision>2</cp:revision>
  <dcterms:created xsi:type="dcterms:W3CDTF">2016-12-28T15:44:00Z</dcterms:created>
  <dcterms:modified xsi:type="dcterms:W3CDTF">2016-12-28T15:44:00Z</dcterms:modified>
</cp:coreProperties>
</file>