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37E86FD" w14:textId="7D9CB52F" w:rsidR="00BA59A1" w:rsidRPr="00E67F53" w:rsidRDefault="00260469" w:rsidP="00260469">
      <w:pPr>
        <w:rPr>
          <w:sz w:val="24"/>
          <w:szCs w:val="24"/>
        </w:rPr>
      </w:pPr>
      <w:bookmarkStart w:id="0" w:name="_GoBack"/>
      <w:bookmarkEnd w:id="0"/>
      <w:r>
        <w:rPr>
          <w:b/>
          <w:sz w:val="24"/>
          <w:szCs w:val="24"/>
        </w:rPr>
        <w:t>ATTACHMENT 1-4</w:t>
      </w:r>
      <w:r w:rsidR="00750E7B" w:rsidRPr="00E67F53">
        <w:rPr>
          <w:b/>
          <w:sz w:val="24"/>
          <w:szCs w:val="24"/>
        </w:rPr>
        <w:t>:  Process for Determining Effects Thresholds:</w:t>
      </w:r>
    </w:p>
    <w:p w14:paraId="080D82E9" w14:textId="77777777" w:rsidR="00BA59A1" w:rsidRDefault="00BA59A1"/>
    <w:p w14:paraId="0963E6CF" w14:textId="77777777" w:rsidR="00BA59A1" w:rsidRDefault="00750E7B">
      <w:pPr>
        <w:numPr>
          <w:ilvl w:val="0"/>
          <w:numId w:val="3"/>
        </w:numPr>
        <w:ind w:hanging="360"/>
        <w:contextualSpacing/>
        <w:rPr>
          <w:b/>
          <w:u w:val="single"/>
        </w:rPr>
      </w:pPr>
      <w:r>
        <w:rPr>
          <w:b/>
          <w:u w:val="single"/>
        </w:rPr>
        <w:t>Effects Thresholds for the Action Area (Step 1):</w:t>
      </w:r>
    </w:p>
    <w:p w14:paraId="589A5596" w14:textId="77777777" w:rsidR="00BA59A1" w:rsidRDefault="00BA59A1">
      <w:pPr>
        <w:ind w:left="720"/>
      </w:pPr>
    </w:p>
    <w:p w14:paraId="33D232C9" w14:textId="77777777" w:rsidR="00BA59A1" w:rsidRDefault="00750E7B">
      <w:pPr>
        <w:numPr>
          <w:ilvl w:val="1"/>
          <w:numId w:val="3"/>
        </w:numPr>
        <w:ind w:hanging="360"/>
        <w:contextualSpacing/>
      </w:pPr>
      <w:r>
        <w:rPr>
          <w:b/>
        </w:rPr>
        <w:t>Mortality (Acute) and Sublethal Thresholds</w:t>
      </w:r>
      <w:r>
        <w:t>:</w:t>
      </w:r>
    </w:p>
    <w:p w14:paraId="21F313F3" w14:textId="77777777" w:rsidR="00BA59A1" w:rsidRDefault="00BA59A1">
      <w:pPr>
        <w:ind w:left="720"/>
      </w:pPr>
    </w:p>
    <w:p w14:paraId="05511D55" w14:textId="350BD5E3" w:rsidR="00BA59A1" w:rsidRDefault="00BF2668">
      <w:bookmarkStart w:id="1" w:name="h.gjdgxs" w:colFirst="0" w:colLast="0"/>
      <w:bookmarkEnd w:id="1"/>
      <w:r w:rsidRPr="00BF2668">
        <w:t>An action area is defined as “all areas to be affected directly or indirectly by the Federal action and not merely the immediate area involved in the action” [50 CFR §402.02]. Due to the unique nature of this consultation, we are using a quantitative approach to delineate the action area.  The action area is determ</w:t>
      </w:r>
      <w:r>
        <w:t>ined by using</w:t>
      </w:r>
      <w:r w:rsidRPr="00BF2668">
        <w:t xml:space="preserve"> the lowest toxicity value for the most sensitive species (</w:t>
      </w:r>
      <w:r w:rsidRPr="00BF2668">
        <w:rPr>
          <w:i/>
        </w:rPr>
        <w:t>i.e</w:t>
      </w:r>
      <w:r w:rsidRPr="00BF2668">
        <w:t>., not limited to ESA-listed species) that results in the farthest distance from the use site(s) based on the effects thresholds</w:t>
      </w:r>
      <w:r>
        <w:t xml:space="preserve"> </w:t>
      </w:r>
      <w:r w:rsidR="00750E7B">
        <w:t>described below. The aquatic portions of the action area incorporate downstream transport.  All effects/endpoints considered relevant to the ‘No Effect’ – ‘May Affect’ determination</w:t>
      </w:r>
      <w:r>
        <w:t>, irrespective of whether or not they are associated with a listed taxon,</w:t>
      </w:r>
      <w:r w:rsidR="00750E7B">
        <w:t xml:space="preserve"> are included in Step 1.  The effects/endpoints that are used to establish the off-site portion of the action area, may include, but are not limited to the following (see </w:t>
      </w:r>
      <w:r w:rsidR="00750E7B">
        <w:rPr>
          <w:b/>
        </w:rPr>
        <w:t xml:space="preserve">Table </w:t>
      </w:r>
      <w:r w:rsidR="00460F68">
        <w:rPr>
          <w:b/>
        </w:rPr>
        <w:t>A 1-4.</w:t>
      </w:r>
      <w:r w:rsidR="00E67F53" w:rsidRPr="00E67F53">
        <w:rPr>
          <w:b/>
        </w:rPr>
        <w:t>1</w:t>
      </w:r>
      <w:r w:rsidR="00750E7B">
        <w:t xml:space="preserve">):  </w:t>
      </w:r>
    </w:p>
    <w:p w14:paraId="13DF075F" w14:textId="77777777" w:rsidR="00BA59A1" w:rsidRDefault="00BA59A1">
      <w:pPr>
        <w:ind w:firstLine="720"/>
      </w:pPr>
    </w:p>
    <w:p w14:paraId="6E2A718B" w14:textId="77777777" w:rsidR="00BA59A1" w:rsidRDefault="00750E7B">
      <w:pPr>
        <w:numPr>
          <w:ilvl w:val="0"/>
          <w:numId w:val="1"/>
        </w:numPr>
        <w:ind w:hanging="360"/>
        <w:contextualSpacing/>
      </w:pPr>
      <w:r>
        <w:t xml:space="preserve">For </w:t>
      </w:r>
      <w:r w:rsidRPr="00BF2668">
        <w:rPr>
          <w:u w:val="single"/>
        </w:rPr>
        <w:t>direct effects to animals</w:t>
      </w:r>
      <w:r>
        <w:t xml:space="preserve"> - acute lethality endpoints (LC</w:t>
      </w:r>
      <w:r>
        <w:rPr>
          <w:vertAlign w:val="subscript"/>
        </w:rPr>
        <w:t xml:space="preserve">50 or </w:t>
      </w:r>
      <w:r>
        <w:t>LD</w:t>
      </w:r>
      <w:r>
        <w:rPr>
          <w:vertAlign w:val="subscript"/>
        </w:rPr>
        <w:t>50</w:t>
      </w:r>
      <w:r>
        <w:t>):</w:t>
      </w:r>
    </w:p>
    <w:p w14:paraId="6D52DDE0" w14:textId="77777777" w:rsidR="00BA59A1" w:rsidRDefault="00BA59A1">
      <w:pPr>
        <w:ind w:left="1080"/>
      </w:pPr>
    </w:p>
    <w:p w14:paraId="1F16C84C" w14:textId="196E9D5F" w:rsidR="00BA59A1" w:rsidRDefault="00750E7B">
      <w:pPr>
        <w:numPr>
          <w:ilvl w:val="1"/>
          <w:numId w:val="1"/>
        </w:numPr>
        <w:ind w:hanging="360"/>
        <w:contextualSpacing/>
      </w:pPr>
      <w:r>
        <w:t>For animals with robust data sets, exposure that results in a one-in-a-million chance of mortality based on the 5</w:t>
      </w:r>
      <w:r>
        <w:rPr>
          <w:vertAlign w:val="superscript"/>
        </w:rPr>
        <w:t>th</w:t>
      </w:r>
      <w:r>
        <w:t xml:space="preserve"> percentile (HC</w:t>
      </w:r>
      <w:r>
        <w:rPr>
          <w:vertAlign w:val="subscript"/>
        </w:rPr>
        <w:t>05</w:t>
      </w:r>
      <w:r>
        <w:t xml:space="preserve">) species from a species sensitivity distribution (SSD) (see </w:t>
      </w:r>
      <w:r w:rsidR="00260469">
        <w:rPr>
          <w:b/>
        </w:rPr>
        <w:t>ATTACHMENT 1-5</w:t>
      </w:r>
      <w:r>
        <w:t xml:space="preserve">). </w:t>
      </w:r>
    </w:p>
    <w:p w14:paraId="480ED111" w14:textId="77777777" w:rsidR="00BA59A1" w:rsidRDefault="00BA59A1">
      <w:pPr>
        <w:ind w:left="1800"/>
      </w:pPr>
    </w:p>
    <w:p w14:paraId="7B77619F" w14:textId="77777777" w:rsidR="00BA59A1" w:rsidRDefault="00750E7B">
      <w:pPr>
        <w:numPr>
          <w:ilvl w:val="1"/>
          <w:numId w:val="1"/>
        </w:numPr>
        <w:ind w:hanging="360"/>
        <w:contextualSpacing/>
      </w:pPr>
      <w:r>
        <w:t xml:space="preserve">If there are not enough data for a SSD, exposure that results in a one in a million chance of mortality based on the most sensitive species tested for each taxon </w:t>
      </w:r>
      <w:r>
        <w:rPr>
          <w:i/>
        </w:rPr>
        <w:t>(e.g.,</w:t>
      </w:r>
      <w:r>
        <w:t xml:space="preserve"> most sensitive LD</w:t>
      </w:r>
      <w:r>
        <w:rPr>
          <w:vertAlign w:val="subscript"/>
        </w:rPr>
        <w:t xml:space="preserve">50 </w:t>
      </w:r>
      <w:r>
        <w:t>or LC</w:t>
      </w:r>
      <w:r>
        <w:rPr>
          <w:vertAlign w:val="subscript"/>
        </w:rPr>
        <w:t>50</w:t>
      </w:r>
      <w:r>
        <w:t xml:space="preserve"> extrapolated to 1 in million chance of mortality based on representative slope). </w:t>
      </w:r>
    </w:p>
    <w:p w14:paraId="50DAC115" w14:textId="77777777" w:rsidR="00BF2668" w:rsidRDefault="00BF2668" w:rsidP="00BF2668"/>
    <w:p w14:paraId="0838645B" w14:textId="1A0F1D10" w:rsidR="00BF2668" w:rsidRPr="00BF2668" w:rsidRDefault="00BF2668" w:rsidP="00072CAA">
      <w:pPr>
        <w:ind w:left="720"/>
      </w:pPr>
      <w:r w:rsidRPr="00BF2668">
        <w:t>The calculation of the dose (LC</w:t>
      </w:r>
      <w:r w:rsidRPr="00BF2668">
        <w:rPr>
          <w:vertAlign w:val="subscript"/>
        </w:rPr>
        <w:t>k</w:t>
      </w:r>
      <w:r w:rsidRPr="00BF2668">
        <w:t>) associated with a defined response for a probit dose curve is as follows:</w:t>
      </w:r>
    </w:p>
    <w:p w14:paraId="766EB193" w14:textId="77777777" w:rsidR="00BF2668" w:rsidRPr="00BF2668" w:rsidRDefault="00BF2668" w:rsidP="00BF2668"/>
    <w:p w14:paraId="0F9F4F4A" w14:textId="4211785C" w:rsidR="00BF2668" w:rsidRPr="00BF2668" w:rsidRDefault="00BF2668" w:rsidP="00BF2668">
      <w:r w:rsidRPr="00BF2668">
        <w:tab/>
      </w:r>
      <w:r w:rsidR="00072CAA">
        <w:tab/>
      </w:r>
      <w:r w:rsidRPr="00BF2668">
        <w:t>logLC</w:t>
      </w:r>
      <w:r w:rsidRPr="00BF2668">
        <w:rPr>
          <w:vertAlign w:val="subscript"/>
        </w:rPr>
        <w:t>k</w:t>
      </w:r>
      <w:r w:rsidRPr="00BF2668">
        <w:t xml:space="preserve"> = logLC</w:t>
      </w:r>
      <w:r w:rsidRPr="00BF2668">
        <w:rPr>
          <w:vertAlign w:val="subscript"/>
        </w:rPr>
        <w:t>50</w:t>
      </w:r>
      <w:r w:rsidRPr="00BF2668">
        <w:t xml:space="preserve"> + (probit k-probit5)/b</w:t>
      </w:r>
    </w:p>
    <w:p w14:paraId="6DB17929" w14:textId="77777777" w:rsidR="00BF2668" w:rsidRPr="00BF2668" w:rsidRDefault="00BF2668" w:rsidP="00BF2668"/>
    <w:p w14:paraId="4C820B56" w14:textId="33434022" w:rsidR="00BF2668" w:rsidRPr="00BF2668" w:rsidRDefault="00BF2668" w:rsidP="00BF2668">
      <w:r w:rsidRPr="00BF2668">
        <w:tab/>
      </w:r>
      <w:r w:rsidR="00072CAA">
        <w:tab/>
      </w:r>
      <w:r w:rsidRPr="00BF2668">
        <w:t>Where: LC</w:t>
      </w:r>
      <w:r w:rsidRPr="00BF2668">
        <w:rPr>
          <w:vertAlign w:val="subscript"/>
        </w:rPr>
        <w:t>50</w:t>
      </w:r>
      <w:r w:rsidRPr="00BF2668">
        <w:t xml:space="preserve"> equals probit 5 and b equals slope</w:t>
      </w:r>
    </w:p>
    <w:p w14:paraId="33F9BC62" w14:textId="77777777" w:rsidR="00BF2668" w:rsidRPr="00BF2668" w:rsidRDefault="00BF2668" w:rsidP="00BF2668"/>
    <w:p w14:paraId="0EBCC2C9" w14:textId="77777777" w:rsidR="00BF2668" w:rsidRPr="00BF2668" w:rsidRDefault="00BF2668" w:rsidP="00072CAA">
      <w:pPr>
        <w:ind w:firstLine="720"/>
      </w:pPr>
      <w:r w:rsidRPr="00BF2668">
        <w:t>This can also be expressed as:</w:t>
      </w:r>
    </w:p>
    <w:p w14:paraId="7A8961EC" w14:textId="77777777" w:rsidR="00BF2668" w:rsidRPr="00BF2668" w:rsidRDefault="00BF2668" w:rsidP="00BF2668"/>
    <w:p w14:paraId="037E90D3" w14:textId="3600229B" w:rsidR="00BF2668" w:rsidRPr="00BF2668" w:rsidRDefault="00BF2668" w:rsidP="00BF2668">
      <w:r w:rsidRPr="00BF2668">
        <w:tab/>
      </w:r>
      <w:r w:rsidR="00072CAA">
        <w:tab/>
      </w:r>
      <w:r w:rsidRPr="00BF2668">
        <w:t>LC</w:t>
      </w:r>
      <w:r w:rsidRPr="00BF2668">
        <w:rPr>
          <w:vertAlign w:val="subscript"/>
        </w:rPr>
        <w:t>k</w:t>
      </w:r>
      <w:r w:rsidRPr="00BF2668">
        <w:t xml:space="preserve"> = (LC</w:t>
      </w:r>
      <w:r w:rsidRPr="00BF2668">
        <w:rPr>
          <w:vertAlign w:val="subscript"/>
        </w:rPr>
        <w:t>50</w:t>
      </w:r>
      <w:r w:rsidRPr="00BF2668">
        <w:t>)(10</w:t>
      </w:r>
      <w:r w:rsidRPr="00BF2668">
        <w:rPr>
          <w:vertAlign w:val="superscript"/>
        </w:rPr>
        <w:t>z/b</w:t>
      </w:r>
      <w:r w:rsidRPr="00BF2668">
        <w:t>)</w:t>
      </w:r>
    </w:p>
    <w:p w14:paraId="2986AC52" w14:textId="3E3C6E5F" w:rsidR="00BF2668" w:rsidRPr="00BF2668" w:rsidRDefault="00BF2668" w:rsidP="00BF2668">
      <w:r w:rsidRPr="00BF2668">
        <w:tab/>
      </w:r>
      <w:r w:rsidR="00072CAA">
        <w:tab/>
      </w:r>
      <w:r w:rsidRPr="00BF2668">
        <w:t>logLC</w:t>
      </w:r>
      <w:r w:rsidRPr="00BF2668">
        <w:rPr>
          <w:vertAlign w:val="subscript"/>
        </w:rPr>
        <w:t xml:space="preserve">k </w:t>
      </w:r>
      <w:r w:rsidRPr="00BF2668">
        <w:t>= logLC50 + (z/b)</w:t>
      </w:r>
    </w:p>
    <w:p w14:paraId="2E8D8C13" w14:textId="77777777" w:rsidR="00BF2668" w:rsidRPr="00BF2668" w:rsidRDefault="00BF2668" w:rsidP="00BF2668"/>
    <w:p w14:paraId="074376EB" w14:textId="2F631917" w:rsidR="00BF2668" w:rsidRPr="00BF2668" w:rsidRDefault="00BF2668" w:rsidP="00BF2668">
      <w:r w:rsidRPr="00BF2668">
        <w:tab/>
      </w:r>
      <w:r w:rsidR="00072CAA">
        <w:tab/>
      </w:r>
      <w:r w:rsidRPr="00BF2668">
        <w:t>where: z is the standard normal deviate and b equals the slope.</w:t>
      </w:r>
    </w:p>
    <w:p w14:paraId="4235C9D2" w14:textId="77777777" w:rsidR="00BF2668" w:rsidRPr="00BF2668" w:rsidRDefault="00BF2668" w:rsidP="00BF2668"/>
    <w:p w14:paraId="248C5CD3" w14:textId="0021FDC4" w:rsidR="00BF2668" w:rsidRPr="00BF2668" w:rsidRDefault="00BF2668" w:rsidP="00072CAA">
      <w:pPr>
        <w:ind w:left="720"/>
      </w:pPr>
      <w:r w:rsidRPr="00BF2668">
        <w:t>The empirical slope associated with the lowest LD</w:t>
      </w:r>
      <w:r w:rsidRPr="00BF2668">
        <w:rPr>
          <w:vertAlign w:val="subscript"/>
        </w:rPr>
        <w:t>50</w:t>
      </w:r>
      <w:r w:rsidRPr="00BF2668">
        <w:t>/LC</w:t>
      </w:r>
      <w:r w:rsidRPr="00BF2668">
        <w:rPr>
          <w:vertAlign w:val="subscript"/>
        </w:rPr>
        <w:t>50</w:t>
      </w:r>
      <w:r w:rsidRPr="00BF2668">
        <w:t xml:space="preserve"> value is used when an SSD cannot be derived.  When an SSD can be derived, the slope associated with an LD</w:t>
      </w:r>
      <w:r w:rsidRPr="00BF2668">
        <w:rPr>
          <w:vertAlign w:val="subscript"/>
        </w:rPr>
        <w:t>50</w:t>
      </w:r>
      <w:r w:rsidRPr="00BF2668">
        <w:t>/LC</w:t>
      </w:r>
      <w:r w:rsidRPr="00BF2668">
        <w:rPr>
          <w:vertAlign w:val="subscript"/>
        </w:rPr>
        <w:t>50</w:t>
      </w:r>
      <w:r w:rsidRPr="00BF2668">
        <w:t xml:space="preserve"> value close to the </w:t>
      </w:r>
      <w:r w:rsidRPr="00BF2668">
        <w:lastRenderedPageBreak/>
        <w:t>5</w:t>
      </w:r>
      <w:r w:rsidRPr="00BF2668">
        <w:rPr>
          <w:vertAlign w:val="superscript"/>
        </w:rPr>
        <w:t>th</w:t>
      </w:r>
      <w:r w:rsidRPr="00BF2668">
        <w:t xml:space="preserve"> percentile value on the SSD is used.  If a slope is not available, a default slope of 4.5 is used (see USEPA, 2004 – the overview Document</w:t>
      </w:r>
      <w:r w:rsidR="00427166">
        <w:rPr>
          <w:rStyle w:val="FootnoteReference"/>
        </w:rPr>
        <w:footnoteReference w:id="1"/>
      </w:r>
      <w:r w:rsidRPr="00BF2668">
        <w:t>)”.</w:t>
      </w:r>
    </w:p>
    <w:p w14:paraId="2DE918E8" w14:textId="77777777" w:rsidR="00BA59A1" w:rsidRDefault="00BA59A1"/>
    <w:p w14:paraId="626D57C4" w14:textId="77777777" w:rsidR="00BA59A1" w:rsidRDefault="00750E7B">
      <w:pPr>
        <w:numPr>
          <w:ilvl w:val="0"/>
          <w:numId w:val="1"/>
        </w:numPr>
        <w:spacing w:line="259" w:lineRule="auto"/>
        <w:ind w:hanging="360"/>
        <w:contextualSpacing/>
      </w:pPr>
      <w:r>
        <w:t xml:space="preserve">For </w:t>
      </w:r>
      <w:r w:rsidRPr="00BF2668">
        <w:rPr>
          <w:u w:val="single"/>
        </w:rPr>
        <w:t>direct effects to all taxa</w:t>
      </w:r>
      <w:r>
        <w:t xml:space="preserve"> - sublethal endpoints (NOAEC, NOAEL, or EC</w:t>
      </w:r>
      <w:r>
        <w:rPr>
          <w:vertAlign w:val="subscript"/>
        </w:rPr>
        <w:t>x</w:t>
      </w:r>
      <w:r>
        <w:t xml:space="preserve">):  </w:t>
      </w:r>
    </w:p>
    <w:p w14:paraId="17CCF217" w14:textId="77777777" w:rsidR="00BA59A1" w:rsidRDefault="00BA59A1">
      <w:pPr>
        <w:spacing w:line="259" w:lineRule="auto"/>
        <w:ind w:left="1080"/>
      </w:pPr>
    </w:p>
    <w:p w14:paraId="2C7027CF" w14:textId="77777777" w:rsidR="00BA59A1" w:rsidRDefault="00750E7B">
      <w:pPr>
        <w:numPr>
          <w:ilvl w:val="1"/>
          <w:numId w:val="1"/>
        </w:numPr>
        <w:spacing w:line="259" w:lineRule="auto"/>
        <w:ind w:hanging="360"/>
        <w:contextualSpacing/>
      </w:pPr>
      <w:r>
        <w:t>For plants, the level corresponding to a reproduction/growth no observed adverse effect concentration or level (</w:t>
      </w:r>
      <w:r>
        <w:rPr>
          <w:i/>
        </w:rPr>
        <w:t>i.e</w:t>
      </w:r>
      <w:r>
        <w:t xml:space="preserve">., NOAEC or NOAEL) for the most sensitive species is used. </w:t>
      </w:r>
    </w:p>
    <w:p w14:paraId="65B406AA" w14:textId="77777777" w:rsidR="00BA59A1" w:rsidRDefault="00BA59A1">
      <w:pPr>
        <w:spacing w:line="259" w:lineRule="auto"/>
        <w:ind w:left="1800"/>
      </w:pPr>
    </w:p>
    <w:p w14:paraId="46709920" w14:textId="77777777" w:rsidR="00BA59A1" w:rsidRDefault="00750E7B">
      <w:pPr>
        <w:numPr>
          <w:ilvl w:val="1"/>
          <w:numId w:val="1"/>
        </w:numPr>
        <w:spacing w:line="259" w:lineRule="auto"/>
        <w:ind w:hanging="360"/>
        <w:contextualSpacing/>
      </w:pPr>
      <w:r>
        <w:t>For animals, the lowest available NOAEC or NOAEL or other scientifically defensible effect threshold (EC</w:t>
      </w:r>
      <w:r>
        <w:rPr>
          <w:vertAlign w:val="subscript"/>
        </w:rPr>
        <w:t>x</w:t>
      </w:r>
      <w:r>
        <w:t xml:space="preserve">) is used. </w:t>
      </w:r>
    </w:p>
    <w:p w14:paraId="68AF33A5" w14:textId="77777777" w:rsidR="00BA59A1" w:rsidRDefault="00750E7B">
      <w:r>
        <w:t xml:space="preserve"> </w:t>
      </w:r>
    </w:p>
    <w:p w14:paraId="245D24AC" w14:textId="77777777" w:rsidR="00BA59A1" w:rsidRDefault="00750E7B">
      <w:pPr>
        <w:spacing w:after="160" w:line="259" w:lineRule="auto"/>
      </w:pPr>
      <w:r>
        <w:t xml:space="preserve">Endpoints generally are: a) from </w:t>
      </w:r>
      <w:r>
        <w:rPr>
          <w:i/>
        </w:rPr>
        <w:t>in vivo</w:t>
      </w:r>
      <w:r>
        <w:t xml:space="preserve"> studies that are conducted with whole organisms; b) representative of environmentally relevant exposure</w:t>
      </w:r>
      <w:r>
        <w:rPr>
          <w:strike/>
        </w:rPr>
        <w:t>s</w:t>
      </w:r>
      <w:r>
        <w:t xml:space="preserve"> routes, and C) able to be quantitatively or qualitatively linked to effects on survival, growth or reproduction.</w:t>
      </w:r>
    </w:p>
    <w:p w14:paraId="2454AB42" w14:textId="77777777" w:rsidR="00BA59A1" w:rsidRDefault="00750E7B">
      <w:pPr>
        <w:spacing w:after="160" w:line="259" w:lineRule="auto"/>
      </w:pPr>
      <w:r>
        <w:t>Decisions on the use of effects levels other than NOAEC or NOAEL values (</w:t>
      </w:r>
      <w:r>
        <w:rPr>
          <w:i/>
        </w:rPr>
        <w:t>i.e</w:t>
      </w:r>
      <w:r>
        <w:t>., EC</w:t>
      </w:r>
      <w:r>
        <w:rPr>
          <w:vertAlign w:val="subscript"/>
        </w:rPr>
        <w:t>x</w:t>
      </w:r>
      <w:r>
        <w:t xml:space="preserve">) involve a consideration of the statistical power of the concurrent NOAEC or NOAEL from that study and whether there is sufficient information regarding dose response to establish a different threshold with a reasonable degree of confidence. Only NOAECs or NOAELs from studies containing a corresponding LOAEC or LOAEL for the measured endpoint are considered for threshold values.   </w:t>
      </w:r>
    </w:p>
    <w:p w14:paraId="6F1C5C45" w14:textId="54FBDA56" w:rsidR="00BA59A1" w:rsidRDefault="00750E7B" w:rsidP="00384C34">
      <w:pPr>
        <w:spacing w:after="160" w:line="259" w:lineRule="auto"/>
      </w:pPr>
      <w:r>
        <w:t>Establishing “may affect” thresholds for given ESA-listed taxa may also</w:t>
      </w:r>
      <w:r>
        <w:rPr>
          <w:strike/>
        </w:rPr>
        <w:t xml:space="preserve"> </w:t>
      </w:r>
      <w:r>
        <w:t>be based on toxicity studies that are conducted at the suborganismal level (</w:t>
      </w:r>
      <w:r>
        <w:rPr>
          <w:rFonts w:ascii="Times New Roman" w:eastAsia="Times New Roman" w:hAnsi="Times New Roman" w:cs="Times New Roman"/>
          <w:i/>
        </w:rPr>
        <w:t>e.g</w:t>
      </w:r>
      <w:r>
        <w:t xml:space="preserve">., on organs or cells), provided data are consistent with other criteria for use. </w:t>
      </w:r>
    </w:p>
    <w:p w14:paraId="2D31686B" w14:textId="3A76A959" w:rsidR="00384C34" w:rsidRPr="00384C34" w:rsidRDefault="00384C34" w:rsidP="00384C34">
      <w:r w:rsidRPr="00384C34">
        <w:rPr>
          <w:b/>
        </w:rPr>
        <w:t xml:space="preserve">TABLE </w:t>
      </w:r>
      <w:r w:rsidR="00460F68">
        <w:rPr>
          <w:b/>
        </w:rPr>
        <w:t>A 1-4.</w:t>
      </w:r>
      <w:r w:rsidR="00E67F53" w:rsidRPr="00E67F53">
        <w:rPr>
          <w:b/>
        </w:rPr>
        <w:t>1</w:t>
      </w:r>
      <w:r w:rsidRPr="00384C34">
        <w:rPr>
          <w:b/>
        </w:rPr>
        <w:t>. Endpoints and associated threshold selection strategies that will be used to delineate the boundary of the action area in Step 1.</w:t>
      </w:r>
      <w:r w:rsidRPr="00384C34">
        <w:t xml:space="preserve"> </w:t>
      </w:r>
    </w:p>
    <w:tbl>
      <w:tblPr>
        <w:tblW w:w="96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9"/>
        <w:gridCol w:w="3589"/>
        <w:gridCol w:w="4050"/>
      </w:tblGrid>
      <w:tr w:rsidR="00384C34" w:rsidRPr="00384C34" w14:paraId="47635CA8" w14:textId="77777777" w:rsidTr="000477F7">
        <w:trPr>
          <w:tblHeader/>
        </w:trPr>
        <w:tc>
          <w:tcPr>
            <w:tcW w:w="2009" w:type="dxa"/>
            <w:shd w:val="clear" w:color="auto" w:fill="E7E6E6"/>
            <w:vAlign w:val="center"/>
          </w:tcPr>
          <w:p w14:paraId="5B7F9D39" w14:textId="77777777" w:rsidR="00384C34" w:rsidRPr="00384C34" w:rsidRDefault="00384C34" w:rsidP="00384C34">
            <w:pPr>
              <w:jc w:val="center"/>
            </w:pPr>
            <w:r w:rsidRPr="00384C34">
              <w:rPr>
                <w:b/>
                <w:sz w:val="20"/>
                <w:szCs w:val="20"/>
              </w:rPr>
              <w:t>Taxon</w:t>
            </w:r>
          </w:p>
        </w:tc>
        <w:tc>
          <w:tcPr>
            <w:tcW w:w="3589" w:type="dxa"/>
            <w:shd w:val="clear" w:color="auto" w:fill="E7E6E6"/>
            <w:vAlign w:val="center"/>
          </w:tcPr>
          <w:p w14:paraId="49BF7111" w14:textId="77777777" w:rsidR="00384C34" w:rsidRPr="00384C34" w:rsidRDefault="00384C34" w:rsidP="00384C34">
            <w:pPr>
              <w:jc w:val="center"/>
            </w:pPr>
            <w:r w:rsidRPr="00384C34">
              <w:rPr>
                <w:b/>
                <w:sz w:val="20"/>
                <w:szCs w:val="20"/>
              </w:rPr>
              <w:t>Mortality</w:t>
            </w:r>
          </w:p>
        </w:tc>
        <w:tc>
          <w:tcPr>
            <w:tcW w:w="4050" w:type="dxa"/>
            <w:shd w:val="clear" w:color="auto" w:fill="E7E6E6"/>
            <w:vAlign w:val="center"/>
          </w:tcPr>
          <w:p w14:paraId="50617F74" w14:textId="77777777" w:rsidR="00384C34" w:rsidRPr="00384C34" w:rsidRDefault="00384C34" w:rsidP="00384C34">
            <w:pPr>
              <w:jc w:val="center"/>
            </w:pPr>
            <w:r w:rsidRPr="00384C34">
              <w:rPr>
                <w:b/>
                <w:sz w:val="20"/>
                <w:szCs w:val="20"/>
              </w:rPr>
              <w:t>Sublethal Effects</w:t>
            </w:r>
          </w:p>
        </w:tc>
      </w:tr>
      <w:tr w:rsidR="00384C34" w:rsidRPr="00384C34" w14:paraId="5696FA0B" w14:textId="77777777" w:rsidTr="000477F7">
        <w:tc>
          <w:tcPr>
            <w:tcW w:w="2009" w:type="dxa"/>
            <w:vAlign w:val="center"/>
          </w:tcPr>
          <w:p w14:paraId="49E678DD" w14:textId="77777777" w:rsidR="00384C34" w:rsidRPr="00384C34" w:rsidRDefault="00384C34" w:rsidP="00384C34">
            <w:r w:rsidRPr="00384C34">
              <w:rPr>
                <w:sz w:val="20"/>
                <w:szCs w:val="20"/>
              </w:rPr>
              <w:t>Birds</w:t>
            </w:r>
            <w:r w:rsidRPr="00384C34">
              <w:rPr>
                <w:sz w:val="20"/>
                <w:szCs w:val="20"/>
                <w:vertAlign w:val="superscript"/>
              </w:rPr>
              <w:t>1</w:t>
            </w:r>
          </w:p>
        </w:tc>
        <w:tc>
          <w:tcPr>
            <w:tcW w:w="3589" w:type="dxa"/>
            <w:vMerge w:val="restart"/>
            <w:vAlign w:val="center"/>
          </w:tcPr>
          <w:p w14:paraId="29B79C57" w14:textId="77777777" w:rsidR="00384C34" w:rsidRPr="00384C34" w:rsidRDefault="00384C34" w:rsidP="00384C34">
            <w:r w:rsidRPr="00384C34">
              <w:rPr>
                <w:sz w:val="20"/>
                <w:szCs w:val="20"/>
              </w:rPr>
              <w:t>Concentration (or dose) that would result in a chance of 1 in a million of causing mortality to an individual. This is calculated by using HC</w:t>
            </w:r>
            <w:r w:rsidRPr="00384C34">
              <w:rPr>
                <w:sz w:val="20"/>
                <w:szCs w:val="20"/>
                <w:vertAlign w:val="subscript"/>
              </w:rPr>
              <w:t>05</w:t>
            </w:r>
            <w:r w:rsidRPr="00384C34">
              <w:rPr>
                <w:sz w:val="20"/>
                <w:szCs w:val="20"/>
              </w:rPr>
              <w:t xml:space="preserve"> of SSD of LC</w:t>
            </w:r>
            <w:r w:rsidRPr="00384C34">
              <w:rPr>
                <w:sz w:val="20"/>
                <w:szCs w:val="20"/>
                <w:vertAlign w:val="subscript"/>
              </w:rPr>
              <w:t xml:space="preserve">50, </w:t>
            </w:r>
            <w:r w:rsidRPr="00384C34">
              <w:rPr>
                <w:sz w:val="20"/>
                <w:szCs w:val="20"/>
              </w:rPr>
              <w:t>LD</w:t>
            </w:r>
            <w:r w:rsidRPr="00384C34">
              <w:rPr>
                <w:sz w:val="20"/>
                <w:szCs w:val="20"/>
                <w:vertAlign w:val="subscript"/>
              </w:rPr>
              <w:t>50,</w:t>
            </w:r>
            <w:r w:rsidRPr="00384C34">
              <w:rPr>
                <w:sz w:val="20"/>
                <w:szCs w:val="20"/>
              </w:rPr>
              <w:t xml:space="preserve"> or EC</w:t>
            </w:r>
            <w:r w:rsidRPr="00384C34">
              <w:rPr>
                <w:sz w:val="20"/>
                <w:szCs w:val="20"/>
                <w:vertAlign w:val="subscript"/>
              </w:rPr>
              <w:t>50</w:t>
            </w:r>
            <w:r w:rsidRPr="00384C34">
              <w:rPr>
                <w:sz w:val="20"/>
                <w:szCs w:val="20"/>
              </w:rPr>
              <w:t xml:space="preserve"> values for taxa and representative slope. If SSD cannot be derived, most sensitive LC</w:t>
            </w:r>
            <w:r w:rsidRPr="00384C34">
              <w:rPr>
                <w:sz w:val="20"/>
                <w:szCs w:val="20"/>
                <w:vertAlign w:val="subscript"/>
              </w:rPr>
              <w:t xml:space="preserve">50, </w:t>
            </w:r>
            <w:r w:rsidRPr="00384C34">
              <w:rPr>
                <w:sz w:val="20"/>
                <w:szCs w:val="20"/>
              </w:rPr>
              <w:t>LD</w:t>
            </w:r>
            <w:r w:rsidRPr="00384C34">
              <w:rPr>
                <w:sz w:val="20"/>
                <w:szCs w:val="20"/>
                <w:vertAlign w:val="subscript"/>
              </w:rPr>
              <w:t>50,</w:t>
            </w:r>
            <w:r w:rsidRPr="00384C34">
              <w:rPr>
                <w:sz w:val="20"/>
                <w:szCs w:val="20"/>
              </w:rPr>
              <w:t xml:space="preserve"> or EC</w:t>
            </w:r>
            <w:r w:rsidRPr="00384C34">
              <w:rPr>
                <w:sz w:val="20"/>
                <w:szCs w:val="20"/>
                <w:vertAlign w:val="subscript"/>
              </w:rPr>
              <w:t>50</w:t>
            </w:r>
            <w:r w:rsidRPr="00384C34">
              <w:rPr>
                <w:sz w:val="20"/>
                <w:szCs w:val="20"/>
              </w:rPr>
              <w:t xml:space="preserve"> for taxa will be used and most representative slope. </w:t>
            </w:r>
          </w:p>
        </w:tc>
        <w:tc>
          <w:tcPr>
            <w:tcW w:w="4050" w:type="dxa"/>
            <w:vMerge w:val="restart"/>
            <w:vAlign w:val="center"/>
          </w:tcPr>
          <w:p w14:paraId="03F57839" w14:textId="77777777" w:rsidR="00384C34" w:rsidRPr="00384C34" w:rsidRDefault="00384C34" w:rsidP="00384C34">
            <w:r w:rsidRPr="00384C34">
              <w:rPr>
                <w:sz w:val="20"/>
                <w:szCs w:val="20"/>
              </w:rPr>
              <w:t>The lowest available NOAEC, NOAEL or other scientifically defensible effect threshold (EC</w:t>
            </w:r>
            <w:r w:rsidRPr="00384C34">
              <w:rPr>
                <w:sz w:val="20"/>
                <w:szCs w:val="20"/>
                <w:vertAlign w:val="subscript"/>
              </w:rPr>
              <w:t>x</w:t>
            </w:r>
            <w:r w:rsidRPr="00384C34">
              <w:rPr>
                <w:sz w:val="20"/>
                <w:szCs w:val="20"/>
              </w:rPr>
              <w:t xml:space="preserve">).  Endpoints are generally from </w:t>
            </w:r>
            <w:r w:rsidRPr="00384C34">
              <w:rPr>
                <w:i/>
                <w:sz w:val="20"/>
                <w:szCs w:val="20"/>
              </w:rPr>
              <w:t>in vivo</w:t>
            </w:r>
            <w:r w:rsidRPr="00384C34">
              <w:rPr>
                <w:sz w:val="20"/>
                <w:szCs w:val="20"/>
              </w:rPr>
              <w:t xml:space="preserve"> studies that are conducted with whole organisms; are representative of environmentally relevant exposure</w:t>
            </w:r>
            <w:r w:rsidRPr="00384C34">
              <w:rPr>
                <w:strike/>
                <w:sz w:val="20"/>
                <w:szCs w:val="20"/>
              </w:rPr>
              <w:t>s</w:t>
            </w:r>
            <w:r w:rsidRPr="00384C34">
              <w:rPr>
                <w:sz w:val="20"/>
                <w:szCs w:val="20"/>
              </w:rPr>
              <w:t xml:space="preserve"> routes; and are able to be quantitatively or qualitatively linked to effects on survival, growth or reproduction.</w:t>
            </w:r>
          </w:p>
          <w:p w14:paraId="7B11C22C" w14:textId="77777777" w:rsidR="00384C34" w:rsidRPr="00384C34" w:rsidRDefault="00384C34" w:rsidP="00384C34"/>
          <w:p w14:paraId="73531D46" w14:textId="77777777" w:rsidR="00384C34" w:rsidRPr="00384C34" w:rsidRDefault="00384C34" w:rsidP="00384C34"/>
        </w:tc>
      </w:tr>
      <w:tr w:rsidR="00384C34" w:rsidRPr="00384C34" w14:paraId="7439D3D9" w14:textId="77777777" w:rsidTr="000477F7">
        <w:tc>
          <w:tcPr>
            <w:tcW w:w="2009" w:type="dxa"/>
            <w:vAlign w:val="center"/>
          </w:tcPr>
          <w:p w14:paraId="79035C52" w14:textId="77777777" w:rsidR="00384C34" w:rsidRPr="00384C34" w:rsidRDefault="00384C34" w:rsidP="00384C34">
            <w:r w:rsidRPr="00384C34">
              <w:rPr>
                <w:sz w:val="20"/>
                <w:szCs w:val="20"/>
              </w:rPr>
              <w:t>Mammals</w:t>
            </w:r>
            <w:r w:rsidRPr="00384C34">
              <w:rPr>
                <w:sz w:val="20"/>
                <w:szCs w:val="20"/>
                <w:vertAlign w:val="superscript"/>
              </w:rPr>
              <w:t>1</w:t>
            </w:r>
          </w:p>
        </w:tc>
        <w:tc>
          <w:tcPr>
            <w:tcW w:w="3589" w:type="dxa"/>
            <w:vMerge/>
            <w:vAlign w:val="center"/>
          </w:tcPr>
          <w:p w14:paraId="10F9BE50" w14:textId="77777777" w:rsidR="00384C34" w:rsidRPr="00384C34" w:rsidRDefault="00384C34" w:rsidP="00384C34">
            <w:pPr>
              <w:widowControl w:val="0"/>
              <w:spacing w:line="276" w:lineRule="auto"/>
            </w:pPr>
          </w:p>
        </w:tc>
        <w:tc>
          <w:tcPr>
            <w:tcW w:w="4050" w:type="dxa"/>
            <w:vMerge/>
            <w:vAlign w:val="center"/>
          </w:tcPr>
          <w:p w14:paraId="5806B4BD" w14:textId="77777777" w:rsidR="00384C34" w:rsidRPr="00384C34" w:rsidRDefault="00384C34" w:rsidP="00384C34"/>
          <w:p w14:paraId="1450A0E9" w14:textId="77777777" w:rsidR="00384C34" w:rsidRPr="00384C34" w:rsidRDefault="00384C34" w:rsidP="00384C34"/>
        </w:tc>
      </w:tr>
      <w:tr w:rsidR="00384C34" w:rsidRPr="00384C34" w14:paraId="7A598692" w14:textId="77777777" w:rsidTr="000477F7">
        <w:tc>
          <w:tcPr>
            <w:tcW w:w="2009" w:type="dxa"/>
            <w:vAlign w:val="center"/>
          </w:tcPr>
          <w:p w14:paraId="6981176D" w14:textId="77777777" w:rsidR="00384C34" w:rsidRPr="00384C34" w:rsidRDefault="00384C34" w:rsidP="00384C34">
            <w:r w:rsidRPr="00384C34">
              <w:rPr>
                <w:sz w:val="20"/>
                <w:szCs w:val="20"/>
              </w:rPr>
              <w:t>Reptiles</w:t>
            </w:r>
          </w:p>
        </w:tc>
        <w:tc>
          <w:tcPr>
            <w:tcW w:w="3589" w:type="dxa"/>
            <w:vMerge/>
            <w:vAlign w:val="center"/>
          </w:tcPr>
          <w:p w14:paraId="186CAA82" w14:textId="77777777" w:rsidR="00384C34" w:rsidRPr="00384C34" w:rsidRDefault="00384C34" w:rsidP="00384C34">
            <w:pPr>
              <w:widowControl w:val="0"/>
              <w:spacing w:line="276" w:lineRule="auto"/>
            </w:pPr>
          </w:p>
        </w:tc>
        <w:tc>
          <w:tcPr>
            <w:tcW w:w="4050" w:type="dxa"/>
            <w:vMerge/>
            <w:vAlign w:val="center"/>
          </w:tcPr>
          <w:p w14:paraId="1BD60503" w14:textId="77777777" w:rsidR="00384C34" w:rsidRPr="00384C34" w:rsidRDefault="00384C34" w:rsidP="00384C34"/>
          <w:p w14:paraId="7C8AF803" w14:textId="77777777" w:rsidR="00384C34" w:rsidRPr="00384C34" w:rsidRDefault="00384C34" w:rsidP="00384C34"/>
        </w:tc>
      </w:tr>
      <w:tr w:rsidR="00384C34" w:rsidRPr="00384C34" w14:paraId="4EA8D689" w14:textId="77777777" w:rsidTr="000477F7">
        <w:tc>
          <w:tcPr>
            <w:tcW w:w="2009" w:type="dxa"/>
            <w:vAlign w:val="center"/>
          </w:tcPr>
          <w:p w14:paraId="578C7610" w14:textId="77777777" w:rsidR="00384C34" w:rsidRPr="00384C34" w:rsidRDefault="00384C34" w:rsidP="00384C34">
            <w:r w:rsidRPr="00384C34">
              <w:rPr>
                <w:sz w:val="20"/>
                <w:szCs w:val="20"/>
              </w:rPr>
              <w:t>Terrestrial-phase amphibians</w:t>
            </w:r>
          </w:p>
        </w:tc>
        <w:tc>
          <w:tcPr>
            <w:tcW w:w="3589" w:type="dxa"/>
            <w:vMerge/>
            <w:vAlign w:val="center"/>
          </w:tcPr>
          <w:p w14:paraId="429A3AB9" w14:textId="77777777" w:rsidR="00384C34" w:rsidRPr="00384C34" w:rsidRDefault="00384C34" w:rsidP="00384C34">
            <w:pPr>
              <w:widowControl w:val="0"/>
              <w:spacing w:line="276" w:lineRule="auto"/>
            </w:pPr>
          </w:p>
        </w:tc>
        <w:tc>
          <w:tcPr>
            <w:tcW w:w="4050" w:type="dxa"/>
            <w:vMerge/>
            <w:vAlign w:val="center"/>
          </w:tcPr>
          <w:p w14:paraId="31CBAF2A" w14:textId="77777777" w:rsidR="00384C34" w:rsidRPr="00384C34" w:rsidRDefault="00384C34" w:rsidP="00384C34"/>
          <w:p w14:paraId="6E0B9D92" w14:textId="77777777" w:rsidR="00384C34" w:rsidRPr="00384C34" w:rsidRDefault="00384C34" w:rsidP="00384C34"/>
        </w:tc>
      </w:tr>
      <w:tr w:rsidR="00384C34" w:rsidRPr="00384C34" w14:paraId="4EDA7BF4" w14:textId="77777777" w:rsidTr="000477F7">
        <w:tc>
          <w:tcPr>
            <w:tcW w:w="2009" w:type="dxa"/>
            <w:vAlign w:val="center"/>
          </w:tcPr>
          <w:p w14:paraId="3E3B2035" w14:textId="77777777" w:rsidR="00384C34" w:rsidRPr="00384C34" w:rsidRDefault="00384C34" w:rsidP="00384C34">
            <w:r w:rsidRPr="00384C34">
              <w:rPr>
                <w:sz w:val="20"/>
                <w:szCs w:val="20"/>
              </w:rPr>
              <w:t>Aquatic-phase amphibians</w:t>
            </w:r>
          </w:p>
        </w:tc>
        <w:tc>
          <w:tcPr>
            <w:tcW w:w="3589" w:type="dxa"/>
            <w:vMerge/>
            <w:vAlign w:val="center"/>
          </w:tcPr>
          <w:p w14:paraId="7D4F744E" w14:textId="77777777" w:rsidR="00384C34" w:rsidRPr="00384C34" w:rsidRDefault="00384C34" w:rsidP="00384C34">
            <w:pPr>
              <w:widowControl w:val="0"/>
              <w:spacing w:line="276" w:lineRule="auto"/>
            </w:pPr>
          </w:p>
        </w:tc>
        <w:tc>
          <w:tcPr>
            <w:tcW w:w="4050" w:type="dxa"/>
            <w:vMerge/>
            <w:vAlign w:val="center"/>
          </w:tcPr>
          <w:p w14:paraId="6C2DD97B" w14:textId="77777777" w:rsidR="00384C34" w:rsidRPr="00384C34" w:rsidRDefault="00384C34" w:rsidP="00384C34"/>
          <w:p w14:paraId="35FD3B58" w14:textId="77777777" w:rsidR="00384C34" w:rsidRPr="00384C34" w:rsidRDefault="00384C34" w:rsidP="00384C34"/>
        </w:tc>
      </w:tr>
      <w:tr w:rsidR="00384C34" w:rsidRPr="00384C34" w14:paraId="5ACECAB6" w14:textId="77777777" w:rsidTr="000477F7">
        <w:tc>
          <w:tcPr>
            <w:tcW w:w="2009" w:type="dxa"/>
            <w:vAlign w:val="center"/>
          </w:tcPr>
          <w:p w14:paraId="2ED22971" w14:textId="77777777" w:rsidR="00384C34" w:rsidRPr="00384C34" w:rsidRDefault="00384C34" w:rsidP="00384C34">
            <w:r w:rsidRPr="00384C34">
              <w:rPr>
                <w:sz w:val="20"/>
                <w:szCs w:val="20"/>
              </w:rPr>
              <w:t>Fish</w:t>
            </w:r>
          </w:p>
        </w:tc>
        <w:tc>
          <w:tcPr>
            <w:tcW w:w="3589" w:type="dxa"/>
            <w:vMerge/>
            <w:vAlign w:val="center"/>
          </w:tcPr>
          <w:p w14:paraId="4F8C99CF" w14:textId="77777777" w:rsidR="00384C34" w:rsidRPr="00384C34" w:rsidRDefault="00384C34" w:rsidP="00384C34">
            <w:pPr>
              <w:widowControl w:val="0"/>
              <w:spacing w:line="276" w:lineRule="auto"/>
            </w:pPr>
          </w:p>
        </w:tc>
        <w:tc>
          <w:tcPr>
            <w:tcW w:w="4050" w:type="dxa"/>
            <w:vMerge/>
            <w:vAlign w:val="center"/>
          </w:tcPr>
          <w:p w14:paraId="5FF57828" w14:textId="77777777" w:rsidR="00384C34" w:rsidRPr="00384C34" w:rsidRDefault="00384C34" w:rsidP="00384C34"/>
          <w:p w14:paraId="670F8E31" w14:textId="77777777" w:rsidR="00384C34" w:rsidRPr="00384C34" w:rsidRDefault="00384C34" w:rsidP="00384C34"/>
        </w:tc>
      </w:tr>
      <w:tr w:rsidR="00384C34" w:rsidRPr="00384C34" w14:paraId="373FEEFF" w14:textId="77777777" w:rsidTr="000477F7">
        <w:tc>
          <w:tcPr>
            <w:tcW w:w="2009" w:type="dxa"/>
            <w:vAlign w:val="center"/>
          </w:tcPr>
          <w:p w14:paraId="4A438AF3" w14:textId="77777777" w:rsidR="00384C34" w:rsidRPr="00384C34" w:rsidRDefault="00384C34" w:rsidP="00384C34">
            <w:r w:rsidRPr="00384C34">
              <w:rPr>
                <w:sz w:val="20"/>
                <w:szCs w:val="20"/>
              </w:rPr>
              <w:t>Aquatic invertebrates</w:t>
            </w:r>
          </w:p>
        </w:tc>
        <w:tc>
          <w:tcPr>
            <w:tcW w:w="3589" w:type="dxa"/>
            <w:vMerge/>
            <w:vAlign w:val="center"/>
          </w:tcPr>
          <w:p w14:paraId="1C365629" w14:textId="77777777" w:rsidR="00384C34" w:rsidRPr="00384C34" w:rsidRDefault="00384C34" w:rsidP="00384C34">
            <w:pPr>
              <w:widowControl w:val="0"/>
              <w:spacing w:line="276" w:lineRule="auto"/>
            </w:pPr>
          </w:p>
        </w:tc>
        <w:tc>
          <w:tcPr>
            <w:tcW w:w="4050" w:type="dxa"/>
            <w:vMerge/>
            <w:vAlign w:val="center"/>
          </w:tcPr>
          <w:p w14:paraId="6B941A1D" w14:textId="77777777" w:rsidR="00384C34" w:rsidRPr="00384C34" w:rsidRDefault="00384C34" w:rsidP="00384C34"/>
          <w:p w14:paraId="2BBAC5B8" w14:textId="77777777" w:rsidR="00384C34" w:rsidRPr="00384C34" w:rsidRDefault="00384C34" w:rsidP="00384C34"/>
        </w:tc>
      </w:tr>
      <w:tr w:rsidR="00384C34" w:rsidRPr="00384C34" w14:paraId="6F8D1A5A" w14:textId="77777777" w:rsidTr="000477F7">
        <w:tc>
          <w:tcPr>
            <w:tcW w:w="2009" w:type="dxa"/>
            <w:vAlign w:val="center"/>
          </w:tcPr>
          <w:p w14:paraId="2AC08D98" w14:textId="43980AE5" w:rsidR="00384C34" w:rsidRPr="00384C34" w:rsidRDefault="00384C34" w:rsidP="00384C34">
            <w:r w:rsidRPr="00384C34">
              <w:rPr>
                <w:sz w:val="20"/>
                <w:szCs w:val="20"/>
              </w:rPr>
              <w:t>Terrestrial invertebrates</w:t>
            </w:r>
          </w:p>
        </w:tc>
        <w:tc>
          <w:tcPr>
            <w:tcW w:w="3589" w:type="dxa"/>
            <w:vMerge/>
            <w:vAlign w:val="center"/>
          </w:tcPr>
          <w:p w14:paraId="3804DBB5" w14:textId="77777777" w:rsidR="00384C34" w:rsidRPr="00384C34" w:rsidRDefault="00384C34" w:rsidP="00384C34">
            <w:pPr>
              <w:widowControl w:val="0"/>
              <w:spacing w:line="276" w:lineRule="auto"/>
            </w:pPr>
          </w:p>
        </w:tc>
        <w:tc>
          <w:tcPr>
            <w:tcW w:w="4050" w:type="dxa"/>
            <w:vMerge/>
            <w:vAlign w:val="center"/>
          </w:tcPr>
          <w:p w14:paraId="2D6D8047" w14:textId="77777777" w:rsidR="00384C34" w:rsidRPr="00384C34" w:rsidRDefault="00384C34" w:rsidP="00384C34"/>
          <w:p w14:paraId="5CDEEF3F" w14:textId="77777777" w:rsidR="00384C34" w:rsidRPr="00384C34" w:rsidRDefault="00384C34" w:rsidP="00384C34"/>
        </w:tc>
      </w:tr>
      <w:tr w:rsidR="00384C34" w:rsidRPr="00384C34" w14:paraId="64CE9AD9" w14:textId="77777777" w:rsidTr="000477F7">
        <w:tc>
          <w:tcPr>
            <w:tcW w:w="2009" w:type="dxa"/>
            <w:vAlign w:val="center"/>
          </w:tcPr>
          <w:p w14:paraId="1338E011" w14:textId="77777777" w:rsidR="00384C34" w:rsidRPr="00384C34" w:rsidRDefault="00384C34" w:rsidP="00384C34">
            <w:r w:rsidRPr="00384C34">
              <w:rPr>
                <w:sz w:val="20"/>
                <w:szCs w:val="20"/>
              </w:rPr>
              <w:t>Aquatic plants</w:t>
            </w:r>
          </w:p>
        </w:tc>
        <w:tc>
          <w:tcPr>
            <w:tcW w:w="3589" w:type="dxa"/>
            <w:vMerge w:val="restart"/>
            <w:vAlign w:val="center"/>
          </w:tcPr>
          <w:p w14:paraId="07F898E9" w14:textId="77777777" w:rsidR="00384C34" w:rsidRPr="00384C34" w:rsidRDefault="00384C34" w:rsidP="00384C34">
            <w:r w:rsidRPr="00384C34">
              <w:rPr>
                <w:sz w:val="20"/>
                <w:szCs w:val="20"/>
              </w:rPr>
              <w:t>Not Applicable</w:t>
            </w:r>
          </w:p>
        </w:tc>
        <w:tc>
          <w:tcPr>
            <w:tcW w:w="4050" w:type="dxa"/>
            <w:vMerge w:val="restart"/>
            <w:vAlign w:val="center"/>
          </w:tcPr>
          <w:p w14:paraId="670EE6FA" w14:textId="77777777" w:rsidR="00384C34" w:rsidRPr="00384C34" w:rsidRDefault="00384C34" w:rsidP="00384C34">
            <w:r w:rsidRPr="00384C34">
              <w:rPr>
                <w:sz w:val="20"/>
                <w:szCs w:val="20"/>
                <w:u w:val="single"/>
              </w:rPr>
              <w:t>Aquatic plants</w:t>
            </w:r>
            <w:r w:rsidRPr="00384C34">
              <w:rPr>
                <w:sz w:val="20"/>
                <w:szCs w:val="20"/>
              </w:rPr>
              <w:t xml:space="preserve">: </w:t>
            </w:r>
          </w:p>
          <w:p w14:paraId="41BFF7D6" w14:textId="77777777" w:rsidR="00384C34" w:rsidRPr="00384C34" w:rsidRDefault="00384C34" w:rsidP="00384C34">
            <w:r w:rsidRPr="00384C34">
              <w:rPr>
                <w:i/>
                <w:sz w:val="20"/>
                <w:szCs w:val="20"/>
              </w:rPr>
              <w:t>Non-vascular</w:t>
            </w:r>
            <w:r w:rsidRPr="00384C34">
              <w:rPr>
                <w:sz w:val="20"/>
                <w:szCs w:val="20"/>
              </w:rPr>
              <w:t xml:space="preserve"> - Concentration equal to the lowest value among the available NOAEC and EC</w:t>
            </w:r>
            <w:r w:rsidRPr="00384C34">
              <w:rPr>
                <w:sz w:val="20"/>
                <w:szCs w:val="20"/>
                <w:vertAlign w:val="subscript"/>
              </w:rPr>
              <w:t xml:space="preserve">05 </w:t>
            </w:r>
            <w:r w:rsidRPr="00384C34">
              <w:rPr>
                <w:sz w:val="20"/>
                <w:szCs w:val="20"/>
              </w:rPr>
              <w:t>values for non-vascular aquatic plants</w:t>
            </w:r>
          </w:p>
          <w:p w14:paraId="7C939F9C" w14:textId="77777777" w:rsidR="00384C34" w:rsidRPr="00384C34" w:rsidRDefault="00384C34" w:rsidP="00384C34">
            <w:r w:rsidRPr="00384C34">
              <w:rPr>
                <w:i/>
                <w:sz w:val="20"/>
                <w:szCs w:val="20"/>
              </w:rPr>
              <w:lastRenderedPageBreak/>
              <w:t>Vascular</w:t>
            </w:r>
            <w:r w:rsidRPr="00384C34">
              <w:rPr>
                <w:sz w:val="20"/>
                <w:szCs w:val="20"/>
              </w:rPr>
              <w:t xml:space="preserve"> - Concentration equal to the lowest value among the available NOAEC and EC</w:t>
            </w:r>
            <w:r w:rsidRPr="00384C34">
              <w:rPr>
                <w:sz w:val="20"/>
                <w:szCs w:val="20"/>
                <w:vertAlign w:val="subscript"/>
              </w:rPr>
              <w:t>05</w:t>
            </w:r>
            <w:r w:rsidRPr="00384C34">
              <w:rPr>
                <w:sz w:val="20"/>
                <w:szCs w:val="20"/>
              </w:rPr>
              <w:t xml:space="preserve"> values for vascular aquatic plants</w:t>
            </w:r>
          </w:p>
          <w:p w14:paraId="465F1FD4" w14:textId="77777777" w:rsidR="00384C34" w:rsidRPr="00384C34" w:rsidRDefault="00384C34" w:rsidP="00384C34"/>
          <w:p w14:paraId="4A54E11B" w14:textId="77777777" w:rsidR="00384C34" w:rsidRPr="00384C34" w:rsidRDefault="00384C34" w:rsidP="00384C34">
            <w:r w:rsidRPr="00384C34">
              <w:rPr>
                <w:sz w:val="20"/>
                <w:szCs w:val="20"/>
                <w:u w:val="single"/>
              </w:rPr>
              <w:t>Terrestrial and wetland plants</w:t>
            </w:r>
            <w:r w:rsidRPr="00384C34">
              <w:rPr>
                <w:sz w:val="20"/>
                <w:szCs w:val="20"/>
              </w:rPr>
              <w:t xml:space="preserve">:  </w:t>
            </w:r>
            <w:r w:rsidRPr="00384C34">
              <w:rPr>
                <w:i/>
                <w:sz w:val="20"/>
                <w:szCs w:val="20"/>
              </w:rPr>
              <w:t>Monocots</w:t>
            </w:r>
            <w:r w:rsidRPr="00384C34">
              <w:rPr>
                <w:sz w:val="20"/>
                <w:szCs w:val="20"/>
              </w:rPr>
              <w:t xml:space="preserve"> - Concentration equal to the lowest value among the monocot  NOAEC and EC</w:t>
            </w:r>
            <w:r w:rsidRPr="00384C34">
              <w:rPr>
                <w:sz w:val="20"/>
                <w:szCs w:val="20"/>
                <w:vertAlign w:val="subscript"/>
              </w:rPr>
              <w:t>05</w:t>
            </w:r>
            <w:r w:rsidRPr="00384C34">
              <w:rPr>
                <w:sz w:val="20"/>
                <w:szCs w:val="20"/>
              </w:rPr>
              <w:t xml:space="preserve"> values from the available seedling emergence and vegetative vigor studies</w:t>
            </w:r>
          </w:p>
          <w:p w14:paraId="354CA186" w14:textId="77777777" w:rsidR="00384C34" w:rsidRPr="00384C34" w:rsidRDefault="00384C34" w:rsidP="00384C34">
            <w:r w:rsidRPr="00384C34">
              <w:rPr>
                <w:i/>
                <w:sz w:val="20"/>
                <w:szCs w:val="20"/>
              </w:rPr>
              <w:t>Dicots</w:t>
            </w:r>
            <w:r w:rsidRPr="00384C34">
              <w:rPr>
                <w:sz w:val="20"/>
                <w:szCs w:val="20"/>
              </w:rPr>
              <w:t xml:space="preserve"> - Concentration equal to the lowest of the dicot  NOAEC and EC</w:t>
            </w:r>
            <w:r w:rsidRPr="00384C34">
              <w:rPr>
                <w:sz w:val="20"/>
                <w:szCs w:val="20"/>
                <w:vertAlign w:val="subscript"/>
              </w:rPr>
              <w:t>05</w:t>
            </w:r>
            <w:r w:rsidRPr="00384C34">
              <w:rPr>
                <w:sz w:val="20"/>
                <w:szCs w:val="20"/>
              </w:rPr>
              <w:t xml:space="preserve"> values from the available seedling emergence and vegetative vigor studies</w:t>
            </w:r>
          </w:p>
          <w:p w14:paraId="57DD6DEA" w14:textId="77777777" w:rsidR="00384C34" w:rsidRPr="00384C34" w:rsidRDefault="00384C34" w:rsidP="00384C34">
            <w:r w:rsidRPr="00384C34">
              <w:rPr>
                <w:i/>
                <w:sz w:val="20"/>
                <w:szCs w:val="20"/>
              </w:rPr>
              <w:t>Non-angiosperm</w:t>
            </w:r>
            <w:r w:rsidRPr="00384C34">
              <w:rPr>
                <w:sz w:val="20"/>
                <w:szCs w:val="20"/>
              </w:rPr>
              <w:t xml:space="preserve"> - Concentration equal to the lowest of the NOAEC and EC</w:t>
            </w:r>
            <w:r w:rsidRPr="00384C34">
              <w:rPr>
                <w:sz w:val="20"/>
                <w:szCs w:val="20"/>
                <w:vertAlign w:val="subscript"/>
              </w:rPr>
              <w:t>05</w:t>
            </w:r>
            <w:r w:rsidRPr="00384C34">
              <w:rPr>
                <w:sz w:val="20"/>
                <w:szCs w:val="20"/>
              </w:rPr>
              <w:t xml:space="preserve"> values from the available seedling emergence and vegetative vigor studies</w:t>
            </w:r>
          </w:p>
        </w:tc>
      </w:tr>
      <w:tr w:rsidR="00384C34" w:rsidRPr="00384C34" w14:paraId="627F9D53" w14:textId="77777777" w:rsidTr="000477F7">
        <w:tc>
          <w:tcPr>
            <w:tcW w:w="2009" w:type="dxa"/>
            <w:vAlign w:val="center"/>
          </w:tcPr>
          <w:p w14:paraId="651765CD" w14:textId="77777777" w:rsidR="00384C34" w:rsidRPr="00384C34" w:rsidRDefault="00384C34" w:rsidP="00384C34">
            <w:r w:rsidRPr="00384C34">
              <w:rPr>
                <w:sz w:val="20"/>
                <w:szCs w:val="20"/>
              </w:rPr>
              <w:t>Terrestrial plants</w:t>
            </w:r>
          </w:p>
        </w:tc>
        <w:tc>
          <w:tcPr>
            <w:tcW w:w="3589" w:type="dxa"/>
            <w:vMerge/>
            <w:vAlign w:val="center"/>
          </w:tcPr>
          <w:p w14:paraId="4DA943B0" w14:textId="77777777" w:rsidR="00384C34" w:rsidRPr="00384C34" w:rsidRDefault="00384C34" w:rsidP="00384C34">
            <w:pPr>
              <w:widowControl w:val="0"/>
              <w:spacing w:line="276" w:lineRule="auto"/>
            </w:pPr>
          </w:p>
        </w:tc>
        <w:tc>
          <w:tcPr>
            <w:tcW w:w="4050" w:type="dxa"/>
            <w:vMerge/>
            <w:vAlign w:val="center"/>
          </w:tcPr>
          <w:p w14:paraId="71968516" w14:textId="77777777" w:rsidR="00384C34" w:rsidRPr="00384C34" w:rsidRDefault="00384C34" w:rsidP="00384C34"/>
          <w:p w14:paraId="367C8824" w14:textId="77777777" w:rsidR="00384C34" w:rsidRPr="00384C34" w:rsidRDefault="00384C34" w:rsidP="00384C34"/>
        </w:tc>
      </w:tr>
      <w:tr w:rsidR="00384C34" w:rsidRPr="00384C34" w14:paraId="37B69C9D" w14:textId="77777777" w:rsidTr="000477F7">
        <w:tc>
          <w:tcPr>
            <w:tcW w:w="2009" w:type="dxa"/>
            <w:vAlign w:val="center"/>
          </w:tcPr>
          <w:p w14:paraId="54C36798" w14:textId="77777777" w:rsidR="00384C34" w:rsidRPr="00384C34" w:rsidRDefault="00384C34" w:rsidP="00384C34">
            <w:r w:rsidRPr="00384C34">
              <w:rPr>
                <w:sz w:val="20"/>
                <w:szCs w:val="20"/>
              </w:rPr>
              <w:t>Wetland plants</w:t>
            </w:r>
          </w:p>
        </w:tc>
        <w:tc>
          <w:tcPr>
            <w:tcW w:w="3589" w:type="dxa"/>
            <w:vMerge/>
            <w:vAlign w:val="center"/>
          </w:tcPr>
          <w:p w14:paraId="676A2861" w14:textId="77777777" w:rsidR="00384C34" w:rsidRPr="00384C34" w:rsidRDefault="00384C34" w:rsidP="00384C34">
            <w:pPr>
              <w:widowControl w:val="0"/>
              <w:spacing w:line="276" w:lineRule="auto"/>
            </w:pPr>
          </w:p>
        </w:tc>
        <w:tc>
          <w:tcPr>
            <w:tcW w:w="4050" w:type="dxa"/>
            <w:vMerge/>
            <w:vAlign w:val="center"/>
          </w:tcPr>
          <w:p w14:paraId="6E9BFC3C" w14:textId="77777777" w:rsidR="00384C34" w:rsidRPr="00384C34" w:rsidRDefault="00384C34" w:rsidP="00384C34"/>
          <w:p w14:paraId="71287252" w14:textId="77777777" w:rsidR="00384C34" w:rsidRPr="00384C34" w:rsidRDefault="00384C34" w:rsidP="00384C34"/>
        </w:tc>
      </w:tr>
    </w:tbl>
    <w:p w14:paraId="73A3115E" w14:textId="77777777" w:rsidR="00384C34" w:rsidRPr="00384C34" w:rsidRDefault="00384C34" w:rsidP="00384C34">
      <w:r w:rsidRPr="00384C34">
        <w:rPr>
          <w:sz w:val="20"/>
          <w:szCs w:val="20"/>
          <w:vertAlign w:val="superscript"/>
        </w:rPr>
        <w:t>1</w:t>
      </w:r>
      <w:r w:rsidRPr="00384C34">
        <w:rPr>
          <w:sz w:val="20"/>
          <w:szCs w:val="20"/>
        </w:rPr>
        <w:t>Lowest LD</w:t>
      </w:r>
      <w:r w:rsidRPr="00384C34">
        <w:rPr>
          <w:sz w:val="20"/>
          <w:szCs w:val="20"/>
          <w:vertAlign w:val="subscript"/>
        </w:rPr>
        <w:t>50</w:t>
      </w:r>
      <w:r w:rsidRPr="00384C34">
        <w:rPr>
          <w:sz w:val="20"/>
          <w:szCs w:val="20"/>
        </w:rPr>
        <w:t xml:space="preserve"> or NOAEL/LOAEL for birds and mammals determined by normalizing results to 100 g body weight for birds and 15 g body weight for mammals prior to establishing threshold values.</w:t>
      </w:r>
    </w:p>
    <w:p w14:paraId="2A5C8DED" w14:textId="77777777" w:rsidR="00BA59A1" w:rsidRDefault="00BA59A1"/>
    <w:p w14:paraId="3BBD7B10" w14:textId="77777777" w:rsidR="00BA59A1" w:rsidRDefault="00750E7B">
      <w:r w:rsidRPr="00B14D80">
        <w:t>Once the action area has been delineated, species ranges will be overlayed onto the action are to determine where any overlap occurs.</w:t>
      </w:r>
      <w:r>
        <w:rPr>
          <w:b/>
        </w:rPr>
        <w:t xml:space="preserve">  </w:t>
      </w:r>
      <w:r>
        <w:t>For species/critical habitats that do not overlap with the action area (as determined by the process described above), the call will be ‘No Effect’ and no further analyses will be required (</w:t>
      </w:r>
      <w:r>
        <w:rPr>
          <w:i/>
        </w:rPr>
        <w:t>i.e</w:t>
      </w:r>
      <w:r>
        <w:t>., there is no need for Steps 2 and 3).  For species and/or critical habitats that do overlap with the action area, the call for that species and/or its critical habitat will be “May Affect,” and the analysis will proceed with Step 2, to determine whether adverse effects would be anticipated.  This process is iterative [</w:t>
      </w:r>
      <w:r>
        <w:rPr>
          <w:rFonts w:ascii="Times New Roman" w:eastAsia="Times New Roman" w:hAnsi="Times New Roman" w:cs="Times New Roman"/>
          <w:i/>
        </w:rPr>
        <w:t>i.e</w:t>
      </w:r>
      <w:r>
        <w:t xml:space="preserve">., if additional information becomes available during the course of conducting Step 2 that indicates that the action area is not adequate for the action(s) being assessed, the action area can be revisited].  </w:t>
      </w:r>
    </w:p>
    <w:p w14:paraId="6F26F6F7" w14:textId="77777777" w:rsidR="00BA59A1" w:rsidRDefault="00BA59A1"/>
    <w:p w14:paraId="7716B998" w14:textId="77777777" w:rsidR="00B31FC2" w:rsidRDefault="00750E7B" w:rsidP="00B31FC2">
      <w:pPr>
        <w:numPr>
          <w:ilvl w:val="0"/>
          <w:numId w:val="3"/>
        </w:numPr>
        <w:ind w:hanging="360"/>
        <w:contextualSpacing/>
        <w:rPr>
          <w:b/>
          <w:u w:val="single"/>
        </w:rPr>
      </w:pPr>
      <w:r>
        <w:rPr>
          <w:b/>
          <w:u w:val="single"/>
        </w:rPr>
        <w:t>Effects Thresholds for Effects Determinations (Step 2):</w:t>
      </w:r>
    </w:p>
    <w:p w14:paraId="1B287BB7" w14:textId="77777777" w:rsidR="00B31FC2" w:rsidRDefault="00B31FC2" w:rsidP="00B31FC2">
      <w:pPr>
        <w:contextualSpacing/>
        <w:rPr>
          <w:b/>
          <w:u w:val="single"/>
        </w:rPr>
      </w:pPr>
    </w:p>
    <w:p w14:paraId="6221033D" w14:textId="0D9CE967" w:rsidR="00BA59A1" w:rsidRPr="00B31FC2" w:rsidRDefault="00750E7B" w:rsidP="00B31FC2">
      <w:pPr>
        <w:contextualSpacing/>
      </w:pPr>
      <w:r w:rsidRPr="00B31FC2">
        <w:t>In Step 2, toxicity values and other data for direct and indirect effects to listed species are analyzed using a weight of evidence approach. These data are organized into lines of evidence that inform risk hypotheses and ultimately the effect determinations (NLAA or LAA) for listed species. Effects thresholds represent just one line of evidence in the overall weight of evidence. The overall effects determination for each species and critical habitat being as</w:t>
      </w:r>
      <w:r w:rsidR="00B31FC2">
        <w:t xml:space="preserve">sessed will be based on the </w:t>
      </w:r>
      <w:r w:rsidRPr="00B31FC2">
        <w:t xml:space="preserve">weight-of-evidence approach described in </w:t>
      </w:r>
      <w:r w:rsidRPr="00B31FC2">
        <w:rPr>
          <w:b/>
        </w:rPr>
        <w:t xml:space="preserve">Section </w:t>
      </w:r>
      <w:r w:rsidR="00260469">
        <w:rPr>
          <w:b/>
        </w:rPr>
        <w:t>1.4.2.2</w:t>
      </w:r>
      <w:r w:rsidR="00260469">
        <w:t xml:space="preserve"> and </w:t>
      </w:r>
      <w:r w:rsidR="00260469">
        <w:rPr>
          <w:b/>
        </w:rPr>
        <w:t>ATTACHMENT 1-9</w:t>
      </w:r>
      <w:r w:rsidRPr="00B31FC2">
        <w:t>.</w:t>
      </w:r>
    </w:p>
    <w:p w14:paraId="278621E3" w14:textId="77777777" w:rsidR="00BA59A1" w:rsidRDefault="00BA59A1">
      <w:pPr>
        <w:ind w:left="720"/>
      </w:pPr>
    </w:p>
    <w:p w14:paraId="5FCEDC6D" w14:textId="77777777" w:rsidR="00BA59A1" w:rsidRDefault="00750E7B">
      <w:pPr>
        <w:numPr>
          <w:ilvl w:val="1"/>
          <w:numId w:val="3"/>
        </w:numPr>
        <w:ind w:hanging="360"/>
        <w:contextualSpacing/>
        <w:rPr>
          <w:b/>
        </w:rPr>
      </w:pPr>
      <w:r>
        <w:rPr>
          <w:b/>
        </w:rPr>
        <w:t>Direct and Indirect Effect Thresholds Based on Mortality:</w:t>
      </w:r>
    </w:p>
    <w:p w14:paraId="1DEB2F12" w14:textId="77777777" w:rsidR="00BA59A1" w:rsidRDefault="00BA59A1">
      <w:pPr>
        <w:ind w:left="1440"/>
      </w:pPr>
    </w:p>
    <w:p w14:paraId="569E59E9" w14:textId="4221F5FB" w:rsidR="00BA59A1" w:rsidRDefault="00750E7B">
      <w:r>
        <w:t>For mortality, either the one-in-a-million chance of mortality as established in Step 1 (derived from consideration of all species in the environment, as described above</w:t>
      </w:r>
      <w:r w:rsidR="00195D59">
        <w:t>) or from</w:t>
      </w:r>
      <w:r>
        <w:t xml:space="preserve"> data f</w:t>
      </w:r>
      <w:r w:rsidR="00195D59">
        <w:t>or a more appropriate surrogate,</w:t>
      </w:r>
      <w:r>
        <w:t xml:space="preserve"> when available</w:t>
      </w:r>
      <w:r w:rsidR="00195D59">
        <w:t>, is used as a threshold</w:t>
      </w:r>
      <w:r>
        <w:t>. Use of data from surrogate species is based on an assessment of the quantity and quality of the surrogate data available for the listed species.  For example, if a listed species’</w:t>
      </w:r>
      <w:r w:rsidR="00195D59">
        <w:t xml:space="preserve"> </w:t>
      </w:r>
      <w:r>
        <w:t>range</w:t>
      </w:r>
      <w:r w:rsidR="00195D59">
        <w:t xml:space="preserve"> </w:t>
      </w:r>
      <w:r>
        <w:t>overlaps with the action area</w:t>
      </w:r>
      <w:r w:rsidR="00195D59">
        <w:t xml:space="preserve">, </w:t>
      </w:r>
      <w:r>
        <w:t xml:space="preserve">where there is an estimated chance of at least one </w:t>
      </w:r>
      <w:r w:rsidR="00195D59">
        <w:t xml:space="preserve">individual </w:t>
      </w:r>
      <w:r>
        <w:t>in one million dying from that exposure, this would result in a ‘LAA’ call.  If enough data from appropriate surrogates are available to create a SSD for the surrogates (</w:t>
      </w:r>
      <w:r>
        <w:rPr>
          <w:rFonts w:ascii="Times New Roman" w:eastAsia="Times New Roman" w:hAnsi="Times New Roman" w:cs="Times New Roman"/>
          <w:i/>
        </w:rPr>
        <w:t>e.g</w:t>
      </w:r>
      <w:r>
        <w:t xml:space="preserve">., data for </w:t>
      </w:r>
      <w:r>
        <w:lastRenderedPageBreak/>
        <w:t>several salmonid species are available to assess risks to listed salmonids), the 5</w:t>
      </w:r>
      <w:r>
        <w:rPr>
          <w:vertAlign w:val="superscript"/>
        </w:rPr>
        <w:t>th</w:t>
      </w:r>
      <w:r>
        <w:t xml:space="preserve"> percentile of the SSD or a surrogate LD</w:t>
      </w:r>
      <w:r>
        <w:rPr>
          <w:vertAlign w:val="subscript"/>
        </w:rPr>
        <w:t>50</w:t>
      </w:r>
      <w:r>
        <w:t>, LC</w:t>
      </w:r>
      <w:r>
        <w:rPr>
          <w:vertAlign w:val="subscript"/>
        </w:rPr>
        <w:t>50</w:t>
      </w:r>
      <w:r>
        <w:t>, or EC</w:t>
      </w:r>
      <w:r>
        <w:rPr>
          <w:vertAlign w:val="subscript"/>
        </w:rPr>
        <w:t xml:space="preserve">x </w:t>
      </w:r>
      <w:r>
        <w:t>from the subset of data may be used to make this determination.  For listed species which lack more appropriate surrogate data (</w:t>
      </w:r>
      <w:r>
        <w:rPr>
          <w:rFonts w:ascii="Times New Roman" w:eastAsia="Times New Roman" w:hAnsi="Times New Roman" w:cs="Times New Roman"/>
          <w:i/>
        </w:rPr>
        <w:t>e.g</w:t>
      </w:r>
      <w:r>
        <w:t xml:space="preserve">., only data from trout and sunfish are available to assess risks to a listed sturgeon), the taxon-specific threshold derived in Step 1 is carried over for this analysis. </w:t>
      </w:r>
    </w:p>
    <w:p w14:paraId="13EC2FF7" w14:textId="77777777" w:rsidR="00BA59A1" w:rsidRDefault="00750E7B">
      <w:r>
        <w:t xml:space="preserve"> </w:t>
      </w:r>
    </w:p>
    <w:p w14:paraId="66F8D4EB" w14:textId="754B9BD6" w:rsidR="00BA59A1" w:rsidRDefault="00750E7B">
      <w:r>
        <w:t>The potential for indirect effects (</w:t>
      </w:r>
      <w:r>
        <w:rPr>
          <w:i/>
        </w:rPr>
        <w:t>e.g.,</w:t>
      </w:r>
      <w:r>
        <w:t xml:space="preserve"> effects on diet, habitat) is based on chlorpyrifos toxicity to the taxa that are relevant to the specific species being assessed.  For </w:t>
      </w:r>
      <w:r w:rsidR="00195D59">
        <w:t xml:space="preserve">example, for </w:t>
      </w:r>
      <w:r>
        <w:t>potential indirect effects based on prey lethality for those species without obligate relationships, the exposure that results in a 10% effect for the 5</w:t>
      </w:r>
      <w:r>
        <w:rPr>
          <w:vertAlign w:val="superscript"/>
        </w:rPr>
        <w:t>th</w:t>
      </w:r>
      <w:r>
        <w:t xml:space="preserve"> percentile species on an SSD for the prey species is used.  If not enough data are available for a SSD, the 10% effect for the most sensitive prey species tested in that taxon is used.  The 10% effect is determined using the most sensitive LD</w:t>
      </w:r>
      <w:r>
        <w:rPr>
          <w:vertAlign w:val="subscript"/>
        </w:rPr>
        <w:t>50</w:t>
      </w:r>
      <w:r>
        <w:t xml:space="preserve"> and the corresponding slope, if available (if not available a default slope of 4.5 will be used) (see </w:t>
      </w:r>
      <w:r>
        <w:rPr>
          <w:b/>
        </w:rPr>
        <w:t xml:space="preserve">Table </w:t>
      </w:r>
      <w:r w:rsidR="00460F68">
        <w:rPr>
          <w:b/>
        </w:rPr>
        <w:t>A 1-4.</w:t>
      </w:r>
      <w:r w:rsidR="00E67F53">
        <w:rPr>
          <w:b/>
        </w:rPr>
        <w:t>2</w:t>
      </w:r>
      <w:r>
        <w:t xml:space="preserve">, below).   </w:t>
      </w:r>
    </w:p>
    <w:p w14:paraId="730D326E" w14:textId="77777777" w:rsidR="00BA59A1" w:rsidRDefault="00BA59A1"/>
    <w:p w14:paraId="5C5497DA" w14:textId="77777777" w:rsidR="00BA59A1" w:rsidRDefault="00750E7B">
      <w:pPr>
        <w:numPr>
          <w:ilvl w:val="1"/>
          <w:numId w:val="3"/>
        </w:numPr>
        <w:ind w:hanging="360"/>
        <w:contextualSpacing/>
        <w:rPr>
          <w:b/>
        </w:rPr>
      </w:pPr>
      <w:r>
        <w:rPr>
          <w:b/>
        </w:rPr>
        <w:t>Direct and Indirect Effect Thresholds Based on Sublethal Endpoints:</w:t>
      </w:r>
    </w:p>
    <w:p w14:paraId="345263A2" w14:textId="77777777" w:rsidR="00BA59A1" w:rsidRDefault="00BA59A1"/>
    <w:p w14:paraId="57C504BC" w14:textId="70A65F25" w:rsidR="00BA59A1" w:rsidRDefault="00750E7B">
      <w:r>
        <w:t>For sublethal effects to plants, the level that corresponds to the reproduction or growth NOAEC, NOAEL, or EC</w:t>
      </w:r>
      <w:r>
        <w:rPr>
          <w:vertAlign w:val="subscript"/>
        </w:rPr>
        <w:t>05</w:t>
      </w:r>
      <w:r>
        <w:t xml:space="preserve"> for the most appropriate surrogate species is used to derive the threshold.  If data on a specific surrogate are not available, the most sensitive species tested in a taxon is used (as described above).  For indirect effects related to terrestrial and wetland plants (</w:t>
      </w:r>
      <w:r>
        <w:rPr>
          <w:rFonts w:ascii="Times New Roman" w:eastAsia="Times New Roman" w:hAnsi="Times New Roman" w:cs="Times New Roman"/>
          <w:i/>
        </w:rPr>
        <w:t>e.g</w:t>
      </w:r>
      <w:r>
        <w:t>., impacts to the diet or habitat of listed species based on potential effects to plants), the lowest available LOAEC or EC</w:t>
      </w:r>
      <w:r>
        <w:rPr>
          <w:vertAlign w:val="subscript"/>
        </w:rPr>
        <w:t>25</w:t>
      </w:r>
      <w:r>
        <w:t xml:space="preserve"> from the available terrestrial plant studies is used.  The lowest LOAEC or EC</w:t>
      </w:r>
      <w:r>
        <w:rPr>
          <w:vertAlign w:val="subscript"/>
        </w:rPr>
        <w:t>25</w:t>
      </w:r>
      <w:r>
        <w:t xml:space="preserve"> from the available aquatic plant studies is used to assess indirect effects associated with potential impacts to aquatic plants.  For species with obligate relationships, the threshold for potential indirect effects to the obligate species is based on the effects endpoints identified for assessing the threshold for potential direct effects to a species as described above (see </w:t>
      </w:r>
      <w:r>
        <w:rPr>
          <w:b/>
        </w:rPr>
        <w:t xml:space="preserve">Table </w:t>
      </w:r>
      <w:r w:rsidR="00460F68">
        <w:rPr>
          <w:b/>
        </w:rPr>
        <w:t>A 1-4.</w:t>
      </w:r>
      <w:r w:rsidR="00E67F53">
        <w:rPr>
          <w:b/>
        </w:rPr>
        <w:t>2</w:t>
      </w:r>
      <w:r>
        <w:t>).</w:t>
      </w:r>
      <w:r>
        <w:rPr>
          <w:rFonts w:ascii="Times New Roman" w:eastAsia="Times New Roman" w:hAnsi="Times New Roman" w:cs="Times New Roman"/>
          <w:b/>
          <w:i/>
        </w:rPr>
        <w:t xml:space="preserve"> </w:t>
      </w:r>
    </w:p>
    <w:p w14:paraId="3C5373B1" w14:textId="77777777" w:rsidR="00BA59A1" w:rsidRDefault="00750E7B">
      <w:r>
        <w:t xml:space="preserve"> </w:t>
      </w:r>
    </w:p>
    <w:p w14:paraId="688A2D82" w14:textId="4C82D5ED" w:rsidR="00BA59A1" w:rsidRDefault="00750E7B">
      <w:r>
        <w:t>For deriving a threshold based on sublethal direct effects to listed animals, the lowest available NOAEC or NOAEL or other scientifically defensible effect threshold (EC</w:t>
      </w:r>
      <w:r>
        <w:rPr>
          <w:vertAlign w:val="subscript"/>
        </w:rPr>
        <w:t>x</w:t>
      </w:r>
      <w:r>
        <w:t>) that can be quantitatively or qualitatively linked to survival or reproduction of a listed individual is used.  For deriving a threshold for indirect effects, the LOAEC or LOAEL or other scientifically defensible effect threshold (EC</w:t>
      </w:r>
      <w:r>
        <w:rPr>
          <w:vertAlign w:val="subscript"/>
        </w:rPr>
        <w:t>x</w:t>
      </w:r>
      <w:r>
        <w:t xml:space="preserve">) for growth or reproduction is used.   </w:t>
      </w:r>
    </w:p>
    <w:p w14:paraId="1800B6C3" w14:textId="77777777" w:rsidR="00BA59A1" w:rsidRDefault="00BA59A1"/>
    <w:p w14:paraId="6E7004D8" w14:textId="77777777" w:rsidR="00BA59A1" w:rsidRDefault="00750E7B">
      <w:pPr>
        <w:numPr>
          <w:ilvl w:val="0"/>
          <w:numId w:val="2"/>
        </w:numPr>
        <w:ind w:hanging="720"/>
        <w:contextualSpacing/>
      </w:pPr>
      <w:r>
        <w:t xml:space="preserve">NOAEC or NOAEL and LOAEC or LOAEL values from sublethal tests will be used.  </w:t>
      </w:r>
    </w:p>
    <w:p w14:paraId="5A76C08A" w14:textId="77777777" w:rsidR="00BA59A1" w:rsidRDefault="00BA59A1">
      <w:pPr>
        <w:ind w:left="720"/>
      </w:pPr>
    </w:p>
    <w:p w14:paraId="18C54188" w14:textId="77777777" w:rsidR="00BA59A1" w:rsidRDefault="00750E7B">
      <w:pPr>
        <w:numPr>
          <w:ilvl w:val="0"/>
          <w:numId w:val="2"/>
        </w:numPr>
        <w:ind w:hanging="720"/>
        <w:contextualSpacing/>
      </w:pPr>
      <w:r>
        <w:t>EC</w:t>
      </w:r>
      <w:r>
        <w:rPr>
          <w:vertAlign w:val="subscript"/>
        </w:rPr>
        <w:t>x</w:t>
      </w:r>
      <w:r>
        <w:t xml:space="preserve"> values may be used when reported in studies.</w:t>
      </w:r>
    </w:p>
    <w:p w14:paraId="626FB840" w14:textId="77777777" w:rsidR="00BA59A1" w:rsidRDefault="00BA59A1"/>
    <w:p w14:paraId="72FC51C7" w14:textId="77777777" w:rsidR="00BA59A1" w:rsidRDefault="00750E7B">
      <w:pPr>
        <w:numPr>
          <w:ilvl w:val="0"/>
          <w:numId w:val="2"/>
        </w:numPr>
        <w:ind w:hanging="720"/>
        <w:contextualSpacing/>
      </w:pPr>
      <w:r>
        <w:t xml:space="preserve">Threshold concentrations from sublethal endpoints will stem from studies that are representative of environmentally relevant exposure routes. </w:t>
      </w:r>
    </w:p>
    <w:p w14:paraId="7EC3B84F" w14:textId="77777777" w:rsidR="00BA59A1" w:rsidRDefault="00BA59A1"/>
    <w:p w14:paraId="6F6EC08A" w14:textId="399CF8C4" w:rsidR="00E67F53" w:rsidRPr="00E67F53" w:rsidRDefault="00E67F53" w:rsidP="00E67F53">
      <w:r w:rsidRPr="00E67F53">
        <w:rPr>
          <w:b/>
        </w:rPr>
        <w:t xml:space="preserve">TABLE </w:t>
      </w:r>
      <w:r w:rsidR="00460F68">
        <w:rPr>
          <w:b/>
        </w:rPr>
        <w:t>A 1-4.</w:t>
      </w:r>
      <w:r w:rsidRPr="00E67F53">
        <w:rPr>
          <w:b/>
        </w:rPr>
        <w:t>2.  Step 2 Thresholds [these values are used to derive thresholds for use, along with other data, in the weight-of-evidence approach for making NLAA and LAA determinations for listed species and critical habitats].</w:t>
      </w: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1"/>
        <w:gridCol w:w="3670"/>
        <w:gridCol w:w="3689"/>
      </w:tblGrid>
      <w:tr w:rsidR="00E67F53" w:rsidRPr="00E67F53" w14:paraId="00132473" w14:textId="77777777" w:rsidTr="000477F7">
        <w:trPr>
          <w:tblHeader/>
        </w:trPr>
        <w:tc>
          <w:tcPr>
            <w:tcW w:w="1991" w:type="dxa"/>
            <w:shd w:val="clear" w:color="auto" w:fill="E7E6E6"/>
            <w:vAlign w:val="center"/>
          </w:tcPr>
          <w:p w14:paraId="06DD6EB7" w14:textId="77777777" w:rsidR="00E67F53" w:rsidRPr="00E67F53" w:rsidRDefault="00E67F53" w:rsidP="00E67F53">
            <w:pPr>
              <w:jc w:val="center"/>
            </w:pPr>
            <w:r w:rsidRPr="00E67F53">
              <w:rPr>
                <w:b/>
                <w:sz w:val="20"/>
                <w:szCs w:val="20"/>
              </w:rPr>
              <w:lastRenderedPageBreak/>
              <w:t>Taxon (Direct Effects)  (Indirect Effects) or Taxa  on which a listed species depends</w:t>
            </w:r>
          </w:p>
        </w:tc>
        <w:tc>
          <w:tcPr>
            <w:tcW w:w="3670" w:type="dxa"/>
            <w:shd w:val="clear" w:color="auto" w:fill="E7E6E6"/>
            <w:vAlign w:val="center"/>
          </w:tcPr>
          <w:p w14:paraId="77ED0A44" w14:textId="77777777" w:rsidR="00E67F53" w:rsidRPr="00E67F53" w:rsidRDefault="00E67F53" w:rsidP="00E67F53">
            <w:pPr>
              <w:jc w:val="center"/>
            </w:pPr>
            <w:r w:rsidRPr="00E67F53">
              <w:rPr>
                <w:b/>
                <w:sz w:val="20"/>
                <w:szCs w:val="20"/>
              </w:rPr>
              <w:t xml:space="preserve">Mortality </w:t>
            </w:r>
          </w:p>
        </w:tc>
        <w:tc>
          <w:tcPr>
            <w:tcW w:w="3689" w:type="dxa"/>
            <w:shd w:val="clear" w:color="auto" w:fill="E7E6E6"/>
            <w:vAlign w:val="center"/>
          </w:tcPr>
          <w:p w14:paraId="5BAFBDD9" w14:textId="77777777" w:rsidR="00E67F53" w:rsidRPr="00E67F53" w:rsidRDefault="00E67F53" w:rsidP="00E67F53">
            <w:pPr>
              <w:jc w:val="center"/>
            </w:pPr>
            <w:r w:rsidRPr="00E67F53">
              <w:rPr>
                <w:b/>
                <w:sz w:val="20"/>
                <w:szCs w:val="20"/>
              </w:rPr>
              <w:t>Sublethal Effects</w:t>
            </w:r>
          </w:p>
        </w:tc>
      </w:tr>
      <w:tr w:rsidR="00E67F53" w:rsidRPr="00E67F53" w14:paraId="74A789B7" w14:textId="77777777" w:rsidTr="000477F7">
        <w:tc>
          <w:tcPr>
            <w:tcW w:w="1991" w:type="dxa"/>
            <w:vAlign w:val="center"/>
          </w:tcPr>
          <w:p w14:paraId="7969F17E" w14:textId="77777777" w:rsidR="00E67F53" w:rsidRPr="00E67F53" w:rsidRDefault="00E67F53" w:rsidP="00E67F53">
            <w:r w:rsidRPr="00E67F53">
              <w:rPr>
                <w:sz w:val="20"/>
                <w:szCs w:val="20"/>
              </w:rPr>
              <w:t>Birds</w:t>
            </w:r>
            <w:r w:rsidRPr="00E67F53">
              <w:rPr>
                <w:sz w:val="20"/>
                <w:szCs w:val="20"/>
                <w:vertAlign w:val="superscript"/>
              </w:rPr>
              <w:t>1</w:t>
            </w:r>
          </w:p>
        </w:tc>
        <w:tc>
          <w:tcPr>
            <w:tcW w:w="3670" w:type="dxa"/>
            <w:vMerge w:val="restart"/>
            <w:vAlign w:val="center"/>
          </w:tcPr>
          <w:p w14:paraId="706264EF" w14:textId="5566B179" w:rsidR="00E67F53" w:rsidRPr="00E67F53" w:rsidRDefault="00E67F53" w:rsidP="00E67F53">
            <w:r w:rsidRPr="00E67F53">
              <w:rPr>
                <w:sz w:val="20"/>
                <w:szCs w:val="20"/>
                <w:u w:val="single"/>
              </w:rPr>
              <w:t>Direct Effects</w:t>
            </w:r>
            <w:r w:rsidRPr="00E67F53">
              <w:rPr>
                <w:sz w:val="20"/>
                <w:szCs w:val="20"/>
              </w:rPr>
              <w:t xml:space="preserve">: Same as those identified in </w:t>
            </w:r>
            <w:r w:rsidRPr="00E67F53">
              <w:rPr>
                <w:b/>
                <w:sz w:val="20"/>
                <w:szCs w:val="20"/>
              </w:rPr>
              <w:t xml:space="preserve">Table </w:t>
            </w:r>
            <w:r>
              <w:rPr>
                <w:b/>
                <w:sz w:val="20"/>
                <w:szCs w:val="20"/>
              </w:rPr>
              <w:t>1</w:t>
            </w:r>
            <w:r w:rsidRPr="00E67F53">
              <w:rPr>
                <w:sz w:val="20"/>
                <w:szCs w:val="20"/>
              </w:rPr>
              <w:t xml:space="preserve"> unless species surrogate data can be used.</w:t>
            </w:r>
          </w:p>
          <w:p w14:paraId="09C71D8A" w14:textId="77777777" w:rsidR="00E67F53" w:rsidRPr="00E67F53" w:rsidRDefault="00E67F53" w:rsidP="00E67F53"/>
          <w:p w14:paraId="36C4DC39" w14:textId="77777777" w:rsidR="00E67F53" w:rsidRPr="00E67F53" w:rsidRDefault="00E67F53" w:rsidP="00E67F53">
            <w:r w:rsidRPr="00E67F53">
              <w:rPr>
                <w:sz w:val="20"/>
                <w:szCs w:val="20"/>
                <w:u w:val="single"/>
              </w:rPr>
              <w:t>Indirect Effects</w:t>
            </w:r>
            <w:r w:rsidRPr="00E67F53">
              <w:rPr>
                <w:sz w:val="20"/>
                <w:szCs w:val="20"/>
              </w:rPr>
              <w:t>: Concentration (or dose) that would result in a decrease of 10% of individuals (i.e. the EC</w:t>
            </w:r>
            <w:r w:rsidRPr="00E67F53">
              <w:rPr>
                <w:sz w:val="20"/>
                <w:szCs w:val="20"/>
                <w:vertAlign w:val="subscript"/>
              </w:rPr>
              <w:t>10</w:t>
            </w:r>
            <w:r w:rsidRPr="00E67F53">
              <w:rPr>
                <w:sz w:val="20"/>
                <w:szCs w:val="20"/>
              </w:rPr>
              <w:t>). This is calculated by using HC</w:t>
            </w:r>
            <w:r w:rsidRPr="00E67F53">
              <w:rPr>
                <w:sz w:val="20"/>
                <w:szCs w:val="20"/>
                <w:vertAlign w:val="subscript"/>
              </w:rPr>
              <w:t>05</w:t>
            </w:r>
            <w:r w:rsidRPr="00E67F53">
              <w:rPr>
                <w:sz w:val="20"/>
                <w:szCs w:val="20"/>
              </w:rPr>
              <w:t xml:space="preserve"> of SSD of LC</w:t>
            </w:r>
            <w:r w:rsidRPr="00E67F53">
              <w:rPr>
                <w:sz w:val="20"/>
                <w:szCs w:val="20"/>
                <w:vertAlign w:val="subscript"/>
              </w:rPr>
              <w:t>50</w:t>
            </w:r>
            <w:r w:rsidRPr="00E67F53">
              <w:rPr>
                <w:sz w:val="20"/>
                <w:szCs w:val="20"/>
              </w:rPr>
              <w:t>/LD</w:t>
            </w:r>
            <w:r w:rsidRPr="00E67F53">
              <w:rPr>
                <w:sz w:val="20"/>
                <w:szCs w:val="20"/>
                <w:vertAlign w:val="subscript"/>
              </w:rPr>
              <w:t>50</w:t>
            </w:r>
            <w:r w:rsidRPr="00E67F53">
              <w:rPr>
                <w:sz w:val="20"/>
                <w:szCs w:val="20"/>
              </w:rPr>
              <w:t xml:space="preserve"> or EC</w:t>
            </w:r>
            <w:r w:rsidRPr="00E67F53">
              <w:rPr>
                <w:sz w:val="20"/>
                <w:szCs w:val="20"/>
                <w:vertAlign w:val="subscript"/>
              </w:rPr>
              <w:t>50</w:t>
            </w:r>
            <w:r w:rsidRPr="00E67F53">
              <w:rPr>
                <w:sz w:val="20"/>
                <w:szCs w:val="20"/>
              </w:rPr>
              <w:t xml:space="preserve"> values and representative slope. If SSD cannot be derived, most sensitive LC</w:t>
            </w:r>
            <w:r w:rsidRPr="00E67F53">
              <w:rPr>
                <w:sz w:val="20"/>
                <w:szCs w:val="20"/>
                <w:vertAlign w:val="subscript"/>
              </w:rPr>
              <w:t>50</w:t>
            </w:r>
            <w:r w:rsidRPr="00E67F53">
              <w:rPr>
                <w:sz w:val="20"/>
                <w:szCs w:val="20"/>
              </w:rPr>
              <w:t>/LD</w:t>
            </w:r>
            <w:r w:rsidRPr="00E67F53">
              <w:rPr>
                <w:sz w:val="20"/>
                <w:szCs w:val="20"/>
                <w:vertAlign w:val="subscript"/>
              </w:rPr>
              <w:t>50</w:t>
            </w:r>
            <w:r w:rsidRPr="00E67F53">
              <w:rPr>
                <w:sz w:val="20"/>
                <w:szCs w:val="20"/>
              </w:rPr>
              <w:t xml:space="preserve"> or EC</w:t>
            </w:r>
            <w:r w:rsidRPr="00E67F53">
              <w:rPr>
                <w:sz w:val="20"/>
                <w:szCs w:val="20"/>
                <w:vertAlign w:val="subscript"/>
              </w:rPr>
              <w:t>50</w:t>
            </w:r>
            <w:r w:rsidRPr="00E67F53">
              <w:rPr>
                <w:sz w:val="20"/>
                <w:szCs w:val="20"/>
              </w:rPr>
              <w:t xml:space="preserve"> will be used.</w:t>
            </w:r>
          </w:p>
        </w:tc>
        <w:tc>
          <w:tcPr>
            <w:tcW w:w="3689" w:type="dxa"/>
            <w:vMerge w:val="restart"/>
            <w:vAlign w:val="center"/>
          </w:tcPr>
          <w:p w14:paraId="39414D2D" w14:textId="77777777" w:rsidR="00E67F53" w:rsidRPr="00E67F53" w:rsidRDefault="00E67F53" w:rsidP="00E67F53">
            <w:r w:rsidRPr="00E67F53">
              <w:rPr>
                <w:sz w:val="20"/>
                <w:szCs w:val="20"/>
                <w:u w:val="single"/>
              </w:rPr>
              <w:t>Direct effects:</w:t>
            </w:r>
            <w:r w:rsidRPr="00E67F53">
              <w:rPr>
                <w:sz w:val="20"/>
                <w:szCs w:val="20"/>
              </w:rPr>
              <w:t xml:space="preserve">  Lowest available NOAEC/NOAEL or other scientifically defensible effect threshold (EC</w:t>
            </w:r>
            <w:r w:rsidRPr="00E67F53">
              <w:rPr>
                <w:sz w:val="20"/>
                <w:szCs w:val="20"/>
                <w:vertAlign w:val="subscript"/>
              </w:rPr>
              <w:t>x</w:t>
            </w:r>
            <w:r w:rsidRPr="00E67F53">
              <w:rPr>
                <w:sz w:val="20"/>
                <w:szCs w:val="20"/>
              </w:rPr>
              <w:t xml:space="preserve">) that can be linked to survival or reproduction of a listed individual will be used. </w:t>
            </w:r>
          </w:p>
          <w:p w14:paraId="193A825B" w14:textId="77777777" w:rsidR="00E67F53" w:rsidRPr="00E67F53" w:rsidRDefault="00E67F53" w:rsidP="00E67F53">
            <w:r w:rsidRPr="00E67F53">
              <w:rPr>
                <w:sz w:val="20"/>
                <w:szCs w:val="20"/>
                <w:u w:val="single"/>
              </w:rPr>
              <w:t>Indirect Effects</w:t>
            </w:r>
            <w:r w:rsidRPr="00E67F53">
              <w:rPr>
                <w:sz w:val="20"/>
                <w:szCs w:val="20"/>
              </w:rPr>
              <w:t>: LOAEC/LOAEL for growth or reproduction will be used (see text for details).</w:t>
            </w:r>
          </w:p>
        </w:tc>
      </w:tr>
      <w:tr w:rsidR="00E67F53" w:rsidRPr="00E67F53" w14:paraId="37B7A74C" w14:textId="77777777" w:rsidTr="000477F7">
        <w:tc>
          <w:tcPr>
            <w:tcW w:w="1991" w:type="dxa"/>
            <w:vAlign w:val="center"/>
          </w:tcPr>
          <w:p w14:paraId="5A5B1535" w14:textId="77777777" w:rsidR="00E67F53" w:rsidRPr="00E67F53" w:rsidRDefault="00E67F53" w:rsidP="00E67F53">
            <w:r w:rsidRPr="00E67F53">
              <w:rPr>
                <w:sz w:val="20"/>
                <w:szCs w:val="20"/>
              </w:rPr>
              <w:t>Mammals</w:t>
            </w:r>
            <w:r w:rsidRPr="00E67F53">
              <w:rPr>
                <w:sz w:val="20"/>
                <w:szCs w:val="20"/>
                <w:vertAlign w:val="superscript"/>
              </w:rPr>
              <w:t>1</w:t>
            </w:r>
          </w:p>
        </w:tc>
        <w:tc>
          <w:tcPr>
            <w:tcW w:w="3670" w:type="dxa"/>
            <w:vMerge/>
            <w:vAlign w:val="center"/>
          </w:tcPr>
          <w:p w14:paraId="73498976" w14:textId="77777777" w:rsidR="00E67F53" w:rsidRPr="00E67F53" w:rsidRDefault="00E67F53" w:rsidP="00E67F53">
            <w:pPr>
              <w:widowControl w:val="0"/>
              <w:spacing w:line="276" w:lineRule="auto"/>
            </w:pPr>
          </w:p>
        </w:tc>
        <w:tc>
          <w:tcPr>
            <w:tcW w:w="3689" w:type="dxa"/>
            <w:vMerge/>
            <w:vAlign w:val="center"/>
          </w:tcPr>
          <w:p w14:paraId="672B73B1" w14:textId="77777777" w:rsidR="00E67F53" w:rsidRPr="00E67F53" w:rsidRDefault="00E67F53" w:rsidP="00E67F53"/>
          <w:p w14:paraId="09024903" w14:textId="77777777" w:rsidR="00E67F53" w:rsidRPr="00E67F53" w:rsidRDefault="00E67F53" w:rsidP="00E67F53"/>
        </w:tc>
      </w:tr>
      <w:tr w:rsidR="00E67F53" w:rsidRPr="00E67F53" w14:paraId="23304073" w14:textId="77777777" w:rsidTr="000477F7">
        <w:tc>
          <w:tcPr>
            <w:tcW w:w="1991" w:type="dxa"/>
            <w:vAlign w:val="center"/>
          </w:tcPr>
          <w:p w14:paraId="1B99D2B9" w14:textId="77777777" w:rsidR="00E67F53" w:rsidRPr="00E67F53" w:rsidRDefault="00E67F53" w:rsidP="00E67F53">
            <w:r w:rsidRPr="00E67F53">
              <w:rPr>
                <w:sz w:val="20"/>
                <w:szCs w:val="20"/>
              </w:rPr>
              <w:t>Reptiles</w:t>
            </w:r>
          </w:p>
        </w:tc>
        <w:tc>
          <w:tcPr>
            <w:tcW w:w="3670" w:type="dxa"/>
            <w:vMerge/>
            <w:vAlign w:val="center"/>
          </w:tcPr>
          <w:p w14:paraId="7735BAF3" w14:textId="77777777" w:rsidR="00E67F53" w:rsidRPr="00E67F53" w:rsidRDefault="00E67F53" w:rsidP="00E67F53">
            <w:pPr>
              <w:widowControl w:val="0"/>
              <w:spacing w:line="276" w:lineRule="auto"/>
            </w:pPr>
          </w:p>
        </w:tc>
        <w:tc>
          <w:tcPr>
            <w:tcW w:w="3689" w:type="dxa"/>
            <w:vMerge/>
            <w:vAlign w:val="center"/>
          </w:tcPr>
          <w:p w14:paraId="635201DF" w14:textId="77777777" w:rsidR="00E67F53" w:rsidRPr="00E67F53" w:rsidRDefault="00E67F53" w:rsidP="00E67F53"/>
          <w:p w14:paraId="5C1EC31E" w14:textId="77777777" w:rsidR="00E67F53" w:rsidRPr="00E67F53" w:rsidRDefault="00E67F53" w:rsidP="00E67F53"/>
        </w:tc>
      </w:tr>
      <w:tr w:rsidR="00E67F53" w:rsidRPr="00E67F53" w14:paraId="54913B1D" w14:textId="77777777" w:rsidTr="000477F7">
        <w:tc>
          <w:tcPr>
            <w:tcW w:w="1991" w:type="dxa"/>
            <w:vAlign w:val="center"/>
          </w:tcPr>
          <w:p w14:paraId="0D253A7F" w14:textId="77777777" w:rsidR="00E67F53" w:rsidRPr="00E67F53" w:rsidRDefault="00E67F53" w:rsidP="00E67F53">
            <w:r w:rsidRPr="00E67F53">
              <w:rPr>
                <w:sz w:val="20"/>
                <w:szCs w:val="20"/>
              </w:rPr>
              <w:t>Terrestrial-phase amphibians</w:t>
            </w:r>
          </w:p>
        </w:tc>
        <w:tc>
          <w:tcPr>
            <w:tcW w:w="3670" w:type="dxa"/>
            <w:vMerge/>
            <w:vAlign w:val="center"/>
          </w:tcPr>
          <w:p w14:paraId="6841CEE2" w14:textId="77777777" w:rsidR="00E67F53" w:rsidRPr="00E67F53" w:rsidRDefault="00E67F53" w:rsidP="00E67F53">
            <w:pPr>
              <w:widowControl w:val="0"/>
              <w:spacing w:line="276" w:lineRule="auto"/>
            </w:pPr>
          </w:p>
        </w:tc>
        <w:tc>
          <w:tcPr>
            <w:tcW w:w="3689" w:type="dxa"/>
            <w:vMerge/>
            <w:vAlign w:val="center"/>
          </w:tcPr>
          <w:p w14:paraId="3FAAAF82" w14:textId="77777777" w:rsidR="00E67F53" w:rsidRPr="00E67F53" w:rsidRDefault="00E67F53" w:rsidP="00E67F53"/>
          <w:p w14:paraId="121BEE4A" w14:textId="77777777" w:rsidR="00E67F53" w:rsidRPr="00E67F53" w:rsidRDefault="00E67F53" w:rsidP="00E67F53"/>
        </w:tc>
      </w:tr>
      <w:tr w:rsidR="00E67F53" w:rsidRPr="00E67F53" w14:paraId="21A9CECE" w14:textId="77777777" w:rsidTr="000477F7">
        <w:tc>
          <w:tcPr>
            <w:tcW w:w="1991" w:type="dxa"/>
            <w:vAlign w:val="center"/>
          </w:tcPr>
          <w:p w14:paraId="6295A425" w14:textId="77777777" w:rsidR="00E67F53" w:rsidRPr="00E67F53" w:rsidRDefault="00E67F53" w:rsidP="00E67F53">
            <w:r w:rsidRPr="00E67F53">
              <w:rPr>
                <w:sz w:val="20"/>
                <w:szCs w:val="20"/>
              </w:rPr>
              <w:t>Aquatic-phase amphibians</w:t>
            </w:r>
          </w:p>
        </w:tc>
        <w:tc>
          <w:tcPr>
            <w:tcW w:w="3670" w:type="dxa"/>
            <w:vMerge/>
            <w:vAlign w:val="center"/>
          </w:tcPr>
          <w:p w14:paraId="21C70CC4" w14:textId="77777777" w:rsidR="00E67F53" w:rsidRPr="00E67F53" w:rsidRDefault="00E67F53" w:rsidP="00E67F53">
            <w:pPr>
              <w:widowControl w:val="0"/>
              <w:spacing w:line="276" w:lineRule="auto"/>
            </w:pPr>
          </w:p>
        </w:tc>
        <w:tc>
          <w:tcPr>
            <w:tcW w:w="3689" w:type="dxa"/>
            <w:vMerge/>
            <w:vAlign w:val="center"/>
          </w:tcPr>
          <w:p w14:paraId="6C416F33" w14:textId="77777777" w:rsidR="00E67F53" w:rsidRPr="00E67F53" w:rsidRDefault="00E67F53" w:rsidP="00E67F53"/>
          <w:p w14:paraId="2553F9FB" w14:textId="77777777" w:rsidR="00E67F53" w:rsidRPr="00E67F53" w:rsidRDefault="00E67F53" w:rsidP="00E67F53"/>
        </w:tc>
      </w:tr>
      <w:tr w:rsidR="00E67F53" w:rsidRPr="00E67F53" w14:paraId="774FB0C9" w14:textId="77777777" w:rsidTr="000477F7">
        <w:tc>
          <w:tcPr>
            <w:tcW w:w="1991" w:type="dxa"/>
            <w:vAlign w:val="center"/>
          </w:tcPr>
          <w:p w14:paraId="0A6F664B" w14:textId="77777777" w:rsidR="00E67F53" w:rsidRPr="00E67F53" w:rsidRDefault="00E67F53" w:rsidP="00E67F53">
            <w:r w:rsidRPr="00E67F53">
              <w:rPr>
                <w:sz w:val="20"/>
                <w:szCs w:val="20"/>
              </w:rPr>
              <w:t>Fish</w:t>
            </w:r>
          </w:p>
        </w:tc>
        <w:tc>
          <w:tcPr>
            <w:tcW w:w="3670" w:type="dxa"/>
            <w:vMerge/>
            <w:vAlign w:val="center"/>
          </w:tcPr>
          <w:p w14:paraId="6EB3FA39" w14:textId="77777777" w:rsidR="00E67F53" w:rsidRPr="00E67F53" w:rsidRDefault="00E67F53" w:rsidP="00E67F53">
            <w:pPr>
              <w:widowControl w:val="0"/>
              <w:spacing w:line="276" w:lineRule="auto"/>
            </w:pPr>
          </w:p>
        </w:tc>
        <w:tc>
          <w:tcPr>
            <w:tcW w:w="3689" w:type="dxa"/>
            <w:vMerge/>
            <w:vAlign w:val="center"/>
          </w:tcPr>
          <w:p w14:paraId="099358A4" w14:textId="77777777" w:rsidR="00E67F53" w:rsidRPr="00E67F53" w:rsidRDefault="00E67F53" w:rsidP="00E67F53"/>
          <w:p w14:paraId="74BC4FD6" w14:textId="77777777" w:rsidR="00E67F53" w:rsidRPr="00E67F53" w:rsidRDefault="00E67F53" w:rsidP="00E67F53"/>
        </w:tc>
      </w:tr>
      <w:tr w:rsidR="00E67F53" w:rsidRPr="00E67F53" w14:paraId="326CB227" w14:textId="77777777" w:rsidTr="000477F7">
        <w:tc>
          <w:tcPr>
            <w:tcW w:w="1991" w:type="dxa"/>
            <w:vAlign w:val="center"/>
          </w:tcPr>
          <w:p w14:paraId="473E0C86" w14:textId="77777777" w:rsidR="00E67F53" w:rsidRPr="00E67F53" w:rsidRDefault="00E67F53" w:rsidP="00E67F53">
            <w:r w:rsidRPr="00E67F53">
              <w:rPr>
                <w:sz w:val="20"/>
                <w:szCs w:val="20"/>
              </w:rPr>
              <w:t>Aquatic invertebrates</w:t>
            </w:r>
          </w:p>
        </w:tc>
        <w:tc>
          <w:tcPr>
            <w:tcW w:w="3670" w:type="dxa"/>
            <w:vMerge/>
            <w:vAlign w:val="center"/>
          </w:tcPr>
          <w:p w14:paraId="3273541C" w14:textId="77777777" w:rsidR="00E67F53" w:rsidRPr="00E67F53" w:rsidRDefault="00E67F53" w:rsidP="00E67F53">
            <w:pPr>
              <w:widowControl w:val="0"/>
              <w:spacing w:line="276" w:lineRule="auto"/>
            </w:pPr>
          </w:p>
        </w:tc>
        <w:tc>
          <w:tcPr>
            <w:tcW w:w="3689" w:type="dxa"/>
            <w:vMerge/>
            <w:vAlign w:val="center"/>
          </w:tcPr>
          <w:p w14:paraId="0D6E9170" w14:textId="77777777" w:rsidR="00E67F53" w:rsidRPr="00E67F53" w:rsidRDefault="00E67F53" w:rsidP="00E67F53"/>
          <w:p w14:paraId="65CE324D" w14:textId="77777777" w:rsidR="00E67F53" w:rsidRPr="00E67F53" w:rsidRDefault="00E67F53" w:rsidP="00E67F53"/>
        </w:tc>
      </w:tr>
      <w:tr w:rsidR="00E67F53" w:rsidRPr="00E67F53" w14:paraId="211CC032" w14:textId="77777777" w:rsidTr="000477F7">
        <w:tc>
          <w:tcPr>
            <w:tcW w:w="1991" w:type="dxa"/>
            <w:vAlign w:val="center"/>
          </w:tcPr>
          <w:p w14:paraId="0EFB5784" w14:textId="57B2C785" w:rsidR="00E67F53" w:rsidRPr="00E67F53" w:rsidRDefault="00E67F53" w:rsidP="00E67F53">
            <w:r w:rsidRPr="00E67F53">
              <w:rPr>
                <w:sz w:val="20"/>
                <w:szCs w:val="20"/>
              </w:rPr>
              <w:t>Terrestrial invertebrates</w:t>
            </w:r>
          </w:p>
        </w:tc>
        <w:tc>
          <w:tcPr>
            <w:tcW w:w="3670" w:type="dxa"/>
            <w:vMerge/>
            <w:vAlign w:val="center"/>
          </w:tcPr>
          <w:p w14:paraId="5B591228" w14:textId="77777777" w:rsidR="00E67F53" w:rsidRPr="00E67F53" w:rsidRDefault="00E67F53" w:rsidP="00E67F53">
            <w:pPr>
              <w:widowControl w:val="0"/>
              <w:spacing w:line="276" w:lineRule="auto"/>
            </w:pPr>
          </w:p>
        </w:tc>
        <w:tc>
          <w:tcPr>
            <w:tcW w:w="3689" w:type="dxa"/>
            <w:vMerge/>
            <w:vAlign w:val="center"/>
          </w:tcPr>
          <w:p w14:paraId="031A7302" w14:textId="77777777" w:rsidR="00E67F53" w:rsidRPr="00E67F53" w:rsidRDefault="00E67F53" w:rsidP="00E67F53"/>
          <w:p w14:paraId="28BACB7A" w14:textId="77777777" w:rsidR="00E67F53" w:rsidRPr="00E67F53" w:rsidRDefault="00E67F53" w:rsidP="00E67F53"/>
        </w:tc>
      </w:tr>
      <w:tr w:rsidR="00E67F53" w:rsidRPr="00E67F53" w14:paraId="0972035C" w14:textId="77777777" w:rsidTr="000477F7">
        <w:tc>
          <w:tcPr>
            <w:tcW w:w="1991" w:type="dxa"/>
            <w:vAlign w:val="center"/>
          </w:tcPr>
          <w:p w14:paraId="67060378" w14:textId="77777777" w:rsidR="00E67F53" w:rsidRPr="00E67F53" w:rsidRDefault="00E67F53" w:rsidP="00E67F53">
            <w:r w:rsidRPr="00E67F53">
              <w:rPr>
                <w:sz w:val="20"/>
                <w:szCs w:val="20"/>
              </w:rPr>
              <w:t>Aquatic plants</w:t>
            </w:r>
          </w:p>
        </w:tc>
        <w:tc>
          <w:tcPr>
            <w:tcW w:w="3670" w:type="dxa"/>
            <w:vMerge w:val="restart"/>
            <w:vAlign w:val="center"/>
          </w:tcPr>
          <w:p w14:paraId="6CC01378" w14:textId="77777777" w:rsidR="00E67F53" w:rsidRPr="00E67F53" w:rsidRDefault="00E67F53" w:rsidP="00E67F53">
            <w:r w:rsidRPr="00E67F53">
              <w:rPr>
                <w:sz w:val="20"/>
                <w:szCs w:val="20"/>
              </w:rPr>
              <w:t>None</w:t>
            </w:r>
          </w:p>
        </w:tc>
        <w:tc>
          <w:tcPr>
            <w:tcW w:w="3689" w:type="dxa"/>
            <w:vMerge w:val="restart"/>
            <w:vAlign w:val="center"/>
          </w:tcPr>
          <w:p w14:paraId="1FB7CC9F" w14:textId="7E976DC6" w:rsidR="00E67F53" w:rsidRPr="00E67F53" w:rsidRDefault="00E67F53" w:rsidP="00E67F53">
            <w:r w:rsidRPr="00E67F53">
              <w:rPr>
                <w:sz w:val="20"/>
                <w:szCs w:val="20"/>
                <w:u w:val="single"/>
              </w:rPr>
              <w:t>Direct Effects</w:t>
            </w:r>
            <w:r w:rsidRPr="00E67F53">
              <w:rPr>
                <w:sz w:val="20"/>
                <w:szCs w:val="20"/>
              </w:rPr>
              <w:t xml:space="preserve">: Same as those identified in </w:t>
            </w:r>
            <w:r w:rsidRPr="00E67F53">
              <w:rPr>
                <w:b/>
                <w:sz w:val="20"/>
                <w:szCs w:val="20"/>
              </w:rPr>
              <w:t xml:space="preserve">Table </w:t>
            </w:r>
            <w:r>
              <w:rPr>
                <w:b/>
                <w:sz w:val="20"/>
                <w:szCs w:val="20"/>
              </w:rPr>
              <w:t>1</w:t>
            </w:r>
            <w:r w:rsidRPr="00E67F53">
              <w:rPr>
                <w:sz w:val="20"/>
                <w:szCs w:val="20"/>
              </w:rPr>
              <w:t>.</w:t>
            </w:r>
          </w:p>
          <w:p w14:paraId="6931A422" w14:textId="77777777" w:rsidR="00E67F53" w:rsidRPr="00E67F53" w:rsidRDefault="00E67F53" w:rsidP="00E67F53"/>
          <w:p w14:paraId="3072AB48" w14:textId="77777777" w:rsidR="00E67F53" w:rsidRPr="00E67F53" w:rsidRDefault="00E67F53" w:rsidP="00E67F53">
            <w:r w:rsidRPr="00E67F53">
              <w:rPr>
                <w:sz w:val="20"/>
                <w:szCs w:val="20"/>
                <w:u w:val="single"/>
              </w:rPr>
              <w:t xml:space="preserve">Indirect Effects: </w:t>
            </w:r>
          </w:p>
          <w:p w14:paraId="3A21B775" w14:textId="77777777" w:rsidR="00E67F53" w:rsidRPr="00E67F53" w:rsidRDefault="00E67F53" w:rsidP="00E67F53">
            <w:r w:rsidRPr="00E67F53">
              <w:rPr>
                <w:i/>
                <w:sz w:val="20"/>
                <w:szCs w:val="20"/>
              </w:rPr>
              <w:t>Aquatic plants</w:t>
            </w:r>
            <w:r w:rsidRPr="00E67F53">
              <w:rPr>
                <w:sz w:val="20"/>
                <w:szCs w:val="20"/>
              </w:rPr>
              <w:t>: Concentration equal to the lowest available LOAEC and EC</w:t>
            </w:r>
            <w:r w:rsidRPr="00E67F53">
              <w:rPr>
                <w:sz w:val="20"/>
                <w:szCs w:val="20"/>
                <w:vertAlign w:val="subscript"/>
              </w:rPr>
              <w:t>25</w:t>
            </w:r>
            <w:r w:rsidRPr="00E67F53">
              <w:rPr>
                <w:sz w:val="20"/>
                <w:szCs w:val="20"/>
              </w:rPr>
              <w:t xml:space="preserve"> value for aquatic plants</w:t>
            </w:r>
          </w:p>
          <w:p w14:paraId="3A87D63A" w14:textId="77777777" w:rsidR="00E67F53" w:rsidRPr="00E67F53" w:rsidRDefault="00E67F53" w:rsidP="00E67F53"/>
          <w:p w14:paraId="083236EE" w14:textId="77777777" w:rsidR="00E67F53" w:rsidRPr="00E67F53" w:rsidRDefault="00E67F53" w:rsidP="00E67F53">
            <w:r w:rsidRPr="00E67F53">
              <w:rPr>
                <w:i/>
                <w:sz w:val="20"/>
                <w:szCs w:val="20"/>
              </w:rPr>
              <w:t>Terrestrial and wetland plants</w:t>
            </w:r>
            <w:r w:rsidRPr="00E67F53">
              <w:rPr>
                <w:sz w:val="20"/>
                <w:szCs w:val="20"/>
              </w:rPr>
              <w:t>:  Concentration equal to the lowest LOAEC and EC</w:t>
            </w:r>
            <w:r w:rsidRPr="00E67F53">
              <w:rPr>
                <w:sz w:val="20"/>
                <w:szCs w:val="20"/>
                <w:vertAlign w:val="subscript"/>
              </w:rPr>
              <w:t>25</w:t>
            </w:r>
            <w:r w:rsidRPr="00E67F53">
              <w:rPr>
                <w:sz w:val="20"/>
                <w:szCs w:val="20"/>
              </w:rPr>
              <w:t xml:space="preserve"> value from the available seedling emergence and vegetative vigor studies</w:t>
            </w:r>
          </w:p>
        </w:tc>
      </w:tr>
      <w:tr w:rsidR="00E67F53" w:rsidRPr="00E67F53" w14:paraId="7D9251ED" w14:textId="77777777" w:rsidTr="000477F7">
        <w:tc>
          <w:tcPr>
            <w:tcW w:w="1991" w:type="dxa"/>
            <w:vAlign w:val="center"/>
          </w:tcPr>
          <w:p w14:paraId="75F78B0E" w14:textId="77777777" w:rsidR="00E67F53" w:rsidRPr="00E67F53" w:rsidRDefault="00E67F53" w:rsidP="00E67F53">
            <w:r w:rsidRPr="00E67F53">
              <w:rPr>
                <w:sz w:val="20"/>
                <w:szCs w:val="20"/>
              </w:rPr>
              <w:t>Terrestrial plants</w:t>
            </w:r>
          </w:p>
        </w:tc>
        <w:tc>
          <w:tcPr>
            <w:tcW w:w="3670" w:type="dxa"/>
            <w:vMerge/>
            <w:vAlign w:val="center"/>
          </w:tcPr>
          <w:p w14:paraId="349E7F7D" w14:textId="77777777" w:rsidR="00E67F53" w:rsidRPr="00E67F53" w:rsidRDefault="00E67F53" w:rsidP="00E67F53">
            <w:pPr>
              <w:widowControl w:val="0"/>
              <w:spacing w:line="276" w:lineRule="auto"/>
            </w:pPr>
          </w:p>
        </w:tc>
        <w:tc>
          <w:tcPr>
            <w:tcW w:w="3689" w:type="dxa"/>
            <w:vMerge/>
            <w:vAlign w:val="center"/>
          </w:tcPr>
          <w:p w14:paraId="3F8DAB5D" w14:textId="77777777" w:rsidR="00E67F53" w:rsidRPr="00E67F53" w:rsidRDefault="00E67F53" w:rsidP="00E67F53"/>
          <w:p w14:paraId="38F3D72B" w14:textId="77777777" w:rsidR="00E67F53" w:rsidRPr="00E67F53" w:rsidRDefault="00E67F53" w:rsidP="00E67F53"/>
        </w:tc>
      </w:tr>
      <w:tr w:rsidR="00E67F53" w:rsidRPr="00E67F53" w14:paraId="2C2A45C6" w14:textId="77777777" w:rsidTr="000477F7">
        <w:tc>
          <w:tcPr>
            <w:tcW w:w="1991" w:type="dxa"/>
            <w:vAlign w:val="center"/>
          </w:tcPr>
          <w:p w14:paraId="715DF1F9" w14:textId="77777777" w:rsidR="00E67F53" w:rsidRPr="00E67F53" w:rsidRDefault="00E67F53" w:rsidP="00E67F53">
            <w:r w:rsidRPr="00E67F53">
              <w:rPr>
                <w:sz w:val="20"/>
                <w:szCs w:val="20"/>
              </w:rPr>
              <w:t>Wetland plants</w:t>
            </w:r>
          </w:p>
        </w:tc>
        <w:tc>
          <w:tcPr>
            <w:tcW w:w="3670" w:type="dxa"/>
            <w:vMerge/>
            <w:vAlign w:val="center"/>
          </w:tcPr>
          <w:p w14:paraId="3C18C77B" w14:textId="77777777" w:rsidR="00E67F53" w:rsidRPr="00E67F53" w:rsidRDefault="00E67F53" w:rsidP="00E67F53">
            <w:pPr>
              <w:widowControl w:val="0"/>
              <w:spacing w:line="276" w:lineRule="auto"/>
            </w:pPr>
          </w:p>
        </w:tc>
        <w:tc>
          <w:tcPr>
            <w:tcW w:w="3689" w:type="dxa"/>
            <w:vMerge/>
            <w:vAlign w:val="center"/>
          </w:tcPr>
          <w:p w14:paraId="1DA9946D" w14:textId="77777777" w:rsidR="00E67F53" w:rsidRPr="00E67F53" w:rsidRDefault="00E67F53" w:rsidP="00E67F53"/>
          <w:p w14:paraId="0DAFCBCE" w14:textId="77777777" w:rsidR="00E67F53" w:rsidRPr="00E67F53" w:rsidRDefault="00E67F53" w:rsidP="00E67F53"/>
        </w:tc>
      </w:tr>
    </w:tbl>
    <w:p w14:paraId="6CC38FA6" w14:textId="77777777" w:rsidR="00E67F53" w:rsidRPr="00E67F53" w:rsidRDefault="00E67F53" w:rsidP="00E67F53">
      <w:r w:rsidRPr="00E67F53">
        <w:rPr>
          <w:sz w:val="20"/>
          <w:szCs w:val="20"/>
          <w:vertAlign w:val="superscript"/>
        </w:rPr>
        <w:t>1</w:t>
      </w:r>
      <w:r w:rsidRPr="00E67F53">
        <w:rPr>
          <w:sz w:val="20"/>
          <w:szCs w:val="20"/>
        </w:rPr>
        <w:t>Lowest LD</w:t>
      </w:r>
      <w:r w:rsidRPr="00E67F53">
        <w:rPr>
          <w:sz w:val="20"/>
          <w:szCs w:val="20"/>
          <w:vertAlign w:val="subscript"/>
        </w:rPr>
        <w:t>50</w:t>
      </w:r>
      <w:r w:rsidRPr="00E67F53">
        <w:rPr>
          <w:sz w:val="20"/>
          <w:szCs w:val="20"/>
        </w:rPr>
        <w:t xml:space="preserve"> or NOAEL/LOAEL for birds and mammals determined by normalizing results to 100 g body weight for birds and 15 g body weight for mammals prior to establishing threshold value.</w:t>
      </w:r>
    </w:p>
    <w:p w14:paraId="4C0304EA" w14:textId="77777777" w:rsidR="00BA59A1" w:rsidRDefault="00BA59A1"/>
    <w:p w14:paraId="2AE063F2" w14:textId="423BD32A" w:rsidR="00BA59A1" w:rsidRDefault="00BA59A1">
      <w:bookmarkStart w:id="2" w:name="h.30j0zll" w:colFirst="0" w:colLast="0"/>
      <w:bookmarkEnd w:id="2"/>
    </w:p>
    <w:sectPr w:rsidR="00BA59A1">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70A50" w14:textId="77777777" w:rsidR="008102AA" w:rsidRDefault="008102AA" w:rsidP="00427166">
      <w:r>
        <w:separator/>
      </w:r>
    </w:p>
  </w:endnote>
  <w:endnote w:type="continuationSeparator" w:id="0">
    <w:p w14:paraId="6B8B597E" w14:textId="77777777" w:rsidR="008102AA" w:rsidRDefault="008102AA" w:rsidP="0042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71DCE" w14:textId="0548DB77" w:rsidR="00176DB1" w:rsidRDefault="00176DB1">
    <w:pPr>
      <w:pStyle w:val="Footer"/>
      <w:jc w:val="center"/>
    </w:pPr>
    <w:r>
      <w:t>A4 (PF)-</w:t>
    </w:r>
    <w:sdt>
      <w:sdtPr>
        <w:id w:val="-14303528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42D2D">
          <w:rPr>
            <w:noProof/>
          </w:rPr>
          <w:t>2</w:t>
        </w:r>
        <w:r>
          <w:rPr>
            <w:noProof/>
          </w:rPr>
          <w:fldChar w:fldCharType="end"/>
        </w:r>
      </w:sdtContent>
    </w:sdt>
  </w:p>
  <w:p w14:paraId="4E480B91" w14:textId="77777777" w:rsidR="00176DB1" w:rsidRDefault="00176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28F15" w14:textId="77777777" w:rsidR="008102AA" w:rsidRDefault="008102AA" w:rsidP="00427166">
      <w:r>
        <w:separator/>
      </w:r>
    </w:p>
  </w:footnote>
  <w:footnote w:type="continuationSeparator" w:id="0">
    <w:p w14:paraId="3FFA6BDE" w14:textId="77777777" w:rsidR="008102AA" w:rsidRDefault="008102AA" w:rsidP="00427166">
      <w:r>
        <w:continuationSeparator/>
      </w:r>
    </w:p>
  </w:footnote>
  <w:footnote w:id="1">
    <w:p w14:paraId="3310EBB8" w14:textId="73D90682" w:rsidR="00427166" w:rsidRDefault="00427166">
      <w:pPr>
        <w:pStyle w:val="FootnoteText"/>
      </w:pPr>
      <w:r>
        <w:rPr>
          <w:rStyle w:val="FootnoteReference"/>
        </w:rPr>
        <w:footnoteRef/>
      </w:r>
      <w:r>
        <w:t xml:space="preserve"> USEPA (2004). </w:t>
      </w:r>
      <w:r w:rsidRPr="00427166">
        <w:rPr>
          <w:i/>
        </w:rPr>
        <w:t>Overview of the Ecological Risk Assessment Process in the Office of Pesticide Programs</w:t>
      </w:r>
      <w:r>
        <w:t>.  U.S. Environmental Protection Agency.  Office of Pesticide Programs.  Washington, DC. January 23, 2004.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541C"/>
    <w:multiLevelType w:val="multilevel"/>
    <w:tmpl w:val="EFB8F85C"/>
    <w:lvl w:ilvl="0">
      <w:start w:val="1"/>
      <w:numFmt w:val="bullet"/>
      <w:lvlText w:val="-"/>
      <w:lvlJc w:val="left"/>
      <w:pPr>
        <w:ind w:left="720" w:firstLine="720"/>
      </w:pPr>
      <w:rPr>
        <w:rFonts w:ascii="Arial" w:eastAsia="Arial" w:hAnsi="Arial" w:cs="Arial"/>
        <w:b w:val="0"/>
        <w:i w:val="0"/>
        <w:strike w:val="0"/>
        <w:color w:val="000000"/>
        <w:sz w:val="24"/>
        <w:szCs w:val="24"/>
        <w:highlight w:val="white"/>
        <w:u w:val="none"/>
        <w:vertAlign w:val="baseline"/>
      </w:rPr>
    </w:lvl>
    <w:lvl w:ilvl="1">
      <w:start w:val="1"/>
      <w:numFmt w:val="bullet"/>
      <w:lvlText w:val="▪"/>
      <w:lvlJc w:val="left"/>
      <w:pPr>
        <w:ind w:left="1800" w:firstLine="180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2520" w:firstLine="252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3240" w:firstLine="3240"/>
      </w:pPr>
      <w:rPr>
        <w:rFonts w:ascii="Arial" w:eastAsia="Arial" w:hAnsi="Arial" w:cs="Arial"/>
        <w:b w:val="0"/>
        <w:i w:val="0"/>
        <w:strike w:val="0"/>
        <w:color w:val="000000"/>
        <w:sz w:val="24"/>
        <w:szCs w:val="24"/>
        <w:highlight w:val="white"/>
        <w:u w:val="none"/>
        <w:vertAlign w:val="baseline"/>
      </w:rPr>
    </w:lvl>
    <w:lvl w:ilvl="4">
      <w:start w:val="1"/>
      <w:numFmt w:val="bullet"/>
      <w:lvlText w:val="□"/>
      <w:lvlJc w:val="left"/>
      <w:pPr>
        <w:ind w:left="3960" w:firstLine="396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680" w:firstLine="468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5400" w:firstLine="5400"/>
      </w:pPr>
      <w:rPr>
        <w:rFonts w:ascii="Arial" w:eastAsia="Arial" w:hAnsi="Arial" w:cs="Arial"/>
        <w:b w:val="0"/>
        <w:i w:val="0"/>
        <w:strike w:val="0"/>
        <w:color w:val="000000"/>
        <w:sz w:val="24"/>
        <w:szCs w:val="24"/>
        <w:highlight w:val="white"/>
        <w:u w:val="none"/>
        <w:vertAlign w:val="baseline"/>
      </w:rPr>
    </w:lvl>
    <w:lvl w:ilvl="7">
      <w:start w:val="1"/>
      <w:numFmt w:val="bullet"/>
      <w:lvlText w:val="□"/>
      <w:lvlJc w:val="left"/>
      <w:pPr>
        <w:ind w:left="6120" w:firstLine="612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840" w:firstLine="6840"/>
      </w:pPr>
      <w:rPr>
        <w:rFonts w:ascii="Arial" w:eastAsia="Arial" w:hAnsi="Arial" w:cs="Arial"/>
        <w:b w:val="0"/>
        <w:i w:val="0"/>
        <w:strike w:val="0"/>
        <w:color w:val="000000"/>
        <w:sz w:val="24"/>
        <w:szCs w:val="24"/>
        <w:highlight w:val="white"/>
        <w:u w:val="none"/>
        <w:vertAlign w:val="baseline"/>
      </w:rPr>
    </w:lvl>
  </w:abstractNum>
  <w:abstractNum w:abstractNumId="1" w15:restartNumberingAfterBreak="0">
    <w:nsid w:val="3F21201E"/>
    <w:multiLevelType w:val="multilevel"/>
    <w:tmpl w:val="B5FE6D12"/>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49255F18"/>
    <w:multiLevelType w:val="multilevel"/>
    <w:tmpl w:val="B6625640"/>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A1"/>
    <w:rsid w:val="00072CAA"/>
    <w:rsid w:val="0016500B"/>
    <w:rsid w:val="00176DB1"/>
    <w:rsid w:val="00195D59"/>
    <w:rsid w:val="00205E54"/>
    <w:rsid w:val="00214078"/>
    <w:rsid w:val="00251296"/>
    <w:rsid w:val="00260469"/>
    <w:rsid w:val="00384C34"/>
    <w:rsid w:val="00427166"/>
    <w:rsid w:val="00460F68"/>
    <w:rsid w:val="005166C8"/>
    <w:rsid w:val="00750E7B"/>
    <w:rsid w:val="008102AA"/>
    <w:rsid w:val="00820C89"/>
    <w:rsid w:val="009529C6"/>
    <w:rsid w:val="00B14D80"/>
    <w:rsid w:val="00B31FC2"/>
    <w:rsid w:val="00B64F80"/>
    <w:rsid w:val="00B90802"/>
    <w:rsid w:val="00BA59A1"/>
    <w:rsid w:val="00BF2668"/>
    <w:rsid w:val="00D27D24"/>
    <w:rsid w:val="00D63498"/>
    <w:rsid w:val="00E42D2D"/>
    <w:rsid w:val="00E6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00AF"/>
  <w15:docId w15:val="{81A9C32D-92FF-4E6A-9758-63C6FA6A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650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00B"/>
    <w:rPr>
      <w:rFonts w:ascii="Segoe UI" w:hAnsi="Segoe UI" w:cs="Segoe UI"/>
      <w:sz w:val="18"/>
      <w:szCs w:val="18"/>
    </w:rPr>
  </w:style>
  <w:style w:type="paragraph" w:styleId="ListParagraph">
    <w:name w:val="List Paragraph"/>
    <w:basedOn w:val="Normal"/>
    <w:uiPriority w:val="34"/>
    <w:qFormat/>
    <w:rsid w:val="00BF2668"/>
    <w:pPr>
      <w:ind w:left="720"/>
      <w:contextualSpacing/>
    </w:pPr>
    <w:rPr>
      <w:rFonts w:asciiTheme="minorHAnsi" w:eastAsiaTheme="minorHAnsi" w:hAnsiTheme="minorHAnsi" w:cstheme="minorBidi"/>
      <w:color w:val="auto"/>
    </w:rPr>
  </w:style>
  <w:style w:type="paragraph" w:styleId="FootnoteText">
    <w:name w:val="footnote text"/>
    <w:basedOn w:val="Normal"/>
    <w:link w:val="FootnoteTextChar"/>
    <w:uiPriority w:val="99"/>
    <w:semiHidden/>
    <w:unhideWhenUsed/>
    <w:rsid w:val="00427166"/>
    <w:rPr>
      <w:sz w:val="20"/>
      <w:szCs w:val="20"/>
    </w:rPr>
  </w:style>
  <w:style w:type="character" w:customStyle="1" w:styleId="FootnoteTextChar">
    <w:name w:val="Footnote Text Char"/>
    <w:basedOn w:val="DefaultParagraphFont"/>
    <w:link w:val="FootnoteText"/>
    <w:uiPriority w:val="99"/>
    <w:semiHidden/>
    <w:rsid w:val="00427166"/>
    <w:rPr>
      <w:sz w:val="20"/>
      <w:szCs w:val="20"/>
    </w:rPr>
  </w:style>
  <w:style w:type="character" w:styleId="FootnoteReference">
    <w:name w:val="footnote reference"/>
    <w:basedOn w:val="DefaultParagraphFont"/>
    <w:uiPriority w:val="99"/>
    <w:semiHidden/>
    <w:unhideWhenUsed/>
    <w:rsid w:val="00427166"/>
    <w:rPr>
      <w:vertAlign w:val="superscript"/>
    </w:rPr>
  </w:style>
  <w:style w:type="paragraph" w:styleId="Header">
    <w:name w:val="header"/>
    <w:basedOn w:val="Normal"/>
    <w:link w:val="HeaderChar"/>
    <w:uiPriority w:val="99"/>
    <w:unhideWhenUsed/>
    <w:rsid w:val="00176DB1"/>
    <w:pPr>
      <w:tabs>
        <w:tab w:val="center" w:pos="4680"/>
        <w:tab w:val="right" w:pos="9360"/>
      </w:tabs>
    </w:pPr>
  </w:style>
  <w:style w:type="character" w:customStyle="1" w:styleId="HeaderChar">
    <w:name w:val="Header Char"/>
    <w:basedOn w:val="DefaultParagraphFont"/>
    <w:link w:val="Header"/>
    <w:uiPriority w:val="99"/>
    <w:rsid w:val="00176DB1"/>
  </w:style>
  <w:style w:type="paragraph" w:styleId="Footer">
    <w:name w:val="footer"/>
    <w:basedOn w:val="Normal"/>
    <w:link w:val="FooterChar"/>
    <w:uiPriority w:val="99"/>
    <w:unhideWhenUsed/>
    <w:rsid w:val="00176DB1"/>
    <w:pPr>
      <w:tabs>
        <w:tab w:val="center" w:pos="4680"/>
        <w:tab w:val="right" w:pos="9360"/>
      </w:tabs>
    </w:pPr>
  </w:style>
  <w:style w:type="character" w:customStyle="1" w:styleId="FooterChar">
    <w:name w:val="Footer Char"/>
    <w:basedOn w:val="DefaultParagraphFont"/>
    <w:link w:val="Footer"/>
    <w:uiPriority w:val="99"/>
    <w:rsid w:val="00176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3FF9F-44DF-46D2-93FD-1DF8A7E5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1896</Words>
  <Characters>10813</Characters>
  <Application>Microsoft Office Word</Application>
  <DocSecurity>6</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Panger, Melissa</dc:creator>
  <cp:lastModifiedBy>newuser</cp:lastModifiedBy>
  <cp:revision>2</cp:revision>
  <dcterms:created xsi:type="dcterms:W3CDTF">2016-12-28T19:13:00Z</dcterms:created>
  <dcterms:modified xsi:type="dcterms:W3CDTF">2016-12-28T19:13:00Z</dcterms:modified>
</cp:coreProperties>
</file>