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9802" w14:textId="4543480F" w:rsidR="00CC664F" w:rsidRDefault="00994F37" w:rsidP="00CC664F">
      <w:pPr>
        <w:rPr>
          <w:b/>
          <w:color w:val="4472C4" w:themeColor="accent5"/>
          <w:sz w:val="32"/>
          <w:szCs w:val="32"/>
        </w:rPr>
      </w:pPr>
      <w:r>
        <w:rPr>
          <w:b/>
          <w:color w:val="4472C4" w:themeColor="accent5"/>
          <w:sz w:val="32"/>
          <w:szCs w:val="32"/>
        </w:rPr>
        <w:t>Simazine</w:t>
      </w:r>
      <w:r w:rsidR="00CC664F" w:rsidRPr="00D279F4">
        <w:rPr>
          <w:b/>
          <w:color w:val="4472C4" w:themeColor="accent5"/>
          <w:sz w:val="32"/>
          <w:szCs w:val="32"/>
        </w:rPr>
        <w:t xml:space="preserve"> Executive Summary for </w:t>
      </w:r>
      <w:r w:rsidR="00B01EBB">
        <w:rPr>
          <w:b/>
          <w:color w:val="4472C4" w:themeColor="accent5"/>
          <w:sz w:val="32"/>
          <w:szCs w:val="32"/>
        </w:rPr>
        <w:t>Biological Evaluation</w:t>
      </w:r>
    </w:p>
    <w:p w14:paraId="7768384A" w14:textId="77777777" w:rsidR="00330467" w:rsidRDefault="00330467"/>
    <w:p w14:paraId="240FE07D" w14:textId="3B5B40C8" w:rsidR="00D205F1" w:rsidRDefault="00D205F1" w:rsidP="00D205F1">
      <w:r>
        <w:t xml:space="preserve">A biological evaluation (BE) is a generic term for an analysis that a federal agency conducts when it takes action subject to review under the Endangered Species Act (ESA). EPA prepares a BE to evaluate the potential effects of an agency action (here registered uses of simazine (PC code </w:t>
      </w:r>
      <w:r w:rsidRPr="00A02B04">
        <w:t xml:space="preserve">080807) </w:t>
      </w:r>
      <w:r>
        <w:t xml:space="preserve">on listed and proposed species and designated and proposed critical habitat). This </w:t>
      </w:r>
      <w:proofErr w:type="gramStart"/>
      <w:r>
        <w:t>BE</w:t>
      </w:r>
      <w:proofErr w:type="gramEnd"/>
      <w:r>
        <w:t xml:space="preserve"> encompasses the review of all the registered uses and the approved product labels for all pesticide products containing </w:t>
      </w:r>
      <w:r w:rsidR="000D476C">
        <w:t>simazine</w:t>
      </w:r>
      <w:r>
        <w:t xml:space="preserve"> as well as any agreed upon changes to these labels from the registrants.</w:t>
      </w:r>
    </w:p>
    <w:p w14:paraId="3CE683EE" w14:textId="77777777" w:rsidR="008322C6" w:rsidRDefault="008322C6" w:rsidP="575D139D"/>
    <w:p w14:paraId="775F6F06" w14:textId="17C464AD" w:rsidR="00D205F1" w:rsidRDefault="00D205F1" w:rsidP="00D205F1">
      <w:pPr>
        <w:rPr>
          <w:rFonts w:eastAsiaTheme="minorEastAsia"/>
        </w:rPr>
      </w:pPr>
      <w:r>
        <w:rPr>
          <w:rStyle w:val="eop"/>
        </w:rPr>
        <w:t xml:space="preserve">Under its current approach for registration review for conventional pesticides, EPA meets its ESA obligations through a three-step process. </w:t>
      </w:r>
      <w:r w:rsidRPr="14F7C6B6">
        <w:rPr>
          <w:rStyle w:val="eop"/>
        </w:rPr>
        <w:t xml:space="preserve">EPA’s development of this BE includes two steps. </w:t>
      </w:r>
      <w:r w:rsidRPr="14F7C6B6">
        <w:rPr>
          <w:rFonts w:eastAsiaTheme="minorEastAsia"/>
        </w:rPr>
        <w:t xml:space="preserve">In Step 1, for each listed species and each designated critical habitat, EPA evaluates whether the registered uses of </w:t>
      </w:r>
      <w:r w:rsidR="000D476C">
        <w:t>sima</w:t>
      </w:r>
      <w:r>
        <w:t>zine</w:t>
      </w:r>
      <w:r w:rsidRPr="14F7C6B6">
        <w:rPr>
          <w:rFonts w:eastAsiaTheme="minorEastAsia"/>
        </w:rPr>
        <w:t xml:space="preserve"> will have No Effect (NE) or if the registered uses May Affect (MA) an individual of such species or habitat (separate determinations made for each species and critical habitat).</w:t>
      </w:r>
      <w:r>
        <w:rPr>
          <w:rFonts w:eastAsiaTheme="minorEastAsia"/>
        </w:rPr>
        <w:t xml:space="preserve"> </w:t>
      </w:r>
      <w:r w:rsidRPr="14F7C6B6">
        <w:rPr>
          <w:rFonts w:eastAsiaTheme="minorEastAsia"/>
        </w:rPr>
        <w:t xml:space="preserve">More specifically, </w:t>
      </w:r>
      <w:r w:rsidRPr="00D957E6">
        <w:rPr>
          <w:rFonts w:eastAsiaTheme="minorEastAsia"/>
        </w:rPr>
        <w:t xml:space="preserve">Step 1 is intended to be a conservative screen that is heavily reliant upon overlap of </w:t>
      </w:r>
      <w:r>
        <w:rPr>
          <w:rFonts w:eastAsiaTheme="minorEastAsia"/>
        </w:rPr>
        <w:t xml:space="preserve">(1) </w:t>
      </w:r>
      <w:r w:rsidRPr="00D957E6">
        <w:rPr>
          <w:rFonts w:eastAsiaTheme="minorEastAsia"/>
        </w:rPr>
        <w:t xml:space="preserve">areas where </w:t>
      </w:r>
      <w:r>
        <w:rPr>
          <w:rFonts w:eastAsiaTheme="minorEastAsia"/>
        </w:rPr>
        <w:t xml:space="preserve">an environmentally discernable effect could occur from any labeled use of </w:t>
      </w:r>
      <w:r w:rsidRPr="00D957E6">
        <w:rPr>
          <w:rFonts w:eastAsiaTheme="minorEastAsia"/>
        </w:rPr>
        <w:t xml:space="preserve">the pesticide being assessed </w:t>
      </w:r>
      <w:r>
        <w:rPr>
          <w:rFonts w:eastAsiaTheme="minorEastAsia"/>
        </w:rPr>
        <w:t xml:space="preserve">(assumes the pesticide could be used in all areas allowable on the label) </w:t>
      </w:r>
      <w:r w:rsidRPr="00D957E6">
        <w:rPr>
          <w:rFonts w:eastAsiaTheme="minorEastAsia"/>
        </w:rPr>
        <w:t xml:space="preserve">with </w:t>
      </w:r>
      <w:r>
        <w:rPr>
          <w:rFonts w:eastAsiaTheme="minorEastAsia"/>
        </w:rPr>
        <w:t xml:space="preserve">(2) areas where </w:t>
      </w:r>
      <w:r w:rsidRPr="00D957E6">
        <w:rPr>
          <w:rFonts w:eastAsiaTheme="minorEastAsia"/>
        </w:rPr>
        <w:t>species range/designated critical</w:t>
      </w:r>
      <w:r>
        <w:rPr>
          <w:rFonts w:eastAsiaTheme="minorEastAsia"/>
        </w:rPr>
        <w:t xml:space="preserve"> </w:t>
      </w:r>
      <w:r w:rsidRPr="00D957E6">
        <w:rPr>
          <w:rFonts w:eastAsiaTheme="minorEastAsia"/>
        </w:rPr>
        <w:t>habitat</w:t>
      </w:r>
      <w:r>
        <w:rPr>
          <w:rFonts w:eastAsiaTheme="minorEastAsia"/>
        </w:rPr>
        <w:t xml:space="preserve"> occurs</w:t>
      </w:r>
      <w:r w:rsidRPr="00D957E6">
        <w:rPr>
          <w:rFonts w:eastAsiaTheme="minorEastAsia"/>
        </w:rPr>
        <w:t>.</w:t>
      </w:r>
      <w:r>
        <w:rPr>
          <w:rFonts w:eastAsiaTheme="minorEastAsia"/>
        </w:rPr>
        <w:t xml:space="preserve"> </w:t>
      </w:r>
      <w:r w:rsidRPr="00D957E6">
        <w:rPr>
          <w:rFonts w:eastAsiaTheme="minorEastAsia"/>
        </w:rPr>
        <w:t xml:space="preserve">It uses conservative assumptions and is intended to screen out species that are not reasonably expected to be exposed </w:t>
      </w:r>
      <w:r>
        <w:rPr>
          <w:rFonts w:eastAsiaTheme="minorEastAsia"/>
        </w:rPr>
        <w:t xml:space="preserve">to the pesticide </w:t>
      </w:r>
      <w:r w:rsidRPr="00D957E6">
        <w:rPr>
          <w:rFonts w:eastAsiaTheme="minorEastAsia"/>
        </w:rPr>
        <w:t xml:space="preserve">because they are outside of the </w:t>
      </w:r>
      <w:r>
        <w:rPr>
          <w:rFonts w:eastAsiaTheme="minorEastAsia"/>
        </w:rPr>
        <w:t xml:space="preserve">pesticide use area, or when no environmentally discernable effect is expected to occur. </w:t>
      </w:r>
      <w:r w:rsidRPr="14F7C6B6">
        <w:rPr>
          <w:rFonts w:eastAsiaTheme="minorEastAsia"/>
        </w:rPr>
        <w:t>If EPA determines there is no effect, that is the end of the analysis for that particular species.</w:t>
      </w:r>
    </w:p>
    <w:p w14:paraId="23333590" w14:textId="77777777" w:rsidR="00D205F1" w:rsidRDefault="00D205F1" w:rsidP="00D205F1">
      <w:pPr>
        <w:rPr>
          <w:rFonts w:eastAsiaTheme="minorEastAsia"/>
        </w:rPr>
      </w:pPr>
    </w:p>
    <w:p w14:paraId="7E9A9CDE" w14:textId="512014CA" w:rsidR="00D205F1" w:rsidRDefault="00D205F1" w:rsidP="00D205F1">
      <w:pPr>
        <w:rPr>
          <w:rFonts w:eastAsiaTheme="minorEastAsia"/>
        </w:rPr>
      </w:pPr>
      <w:r w:rsidRPr="14F7C6B6">
        <w:rPr>
          <w:rFonts w:eastAsiaTheme="minorEastAsia"/>
        </w:rPr>
        <w:t xml:space="preserve">In Step 2, for those species and critical habitats that EPA determines an individual may be affected, EPA uses additional information to determine if </w:t>
      </w:r>
      <w:r w:rsidR="000D476C">
        <w:t>sima</w:t>
      </w:r>
      <w:r>
        <w:t>zine</w:t>
      </w:r>
      <w:r w:rsidRPr="14F7C6B6">
        <w:rPr>
          <w:rFonts w:eastAsiaTheme="minorEastAsia"/>
        </w:rPr>
        <w:t xml:space="preserve"> may affect but </w:t>
      </w:r>
      <w:r>
        <w:rPr>
          <w:rFonts w:eastAsiaTheme="minorEastAsia"/>
        </w:rPr>
        <w:t>is N</w:t>
      </w:r>
      <w:r w:rsidRPr="14F7C6B6">
        <w:rPr>
          <w:rFonts w:eastAsiaTheme="minorEastAsia"/>
        </w:rPr>
        <w:t xml:space="preserve">ot Likely to Adversely Affect (NLAA) or may affect and is Likely to Adversely Affect (LAA) </w:t>
      </w:r>
      <w:r>
        <w:rPr>
          <w:rFonts w:eastAsiaTheme="minorEastAsia"/>
        </w:rPr>
        <w:t xml:space="preserve">an individual of a </w:t>
      </w:r>
      <w:r w:rsidRPr="14F7C6B6">
        <w:rPr>
          <w:rFonts w:eastAsiaTheme="minorEastAsia"/>
        </w:rPr>
        <w:t>species or</w:t>
      </w:r>
      <w:r>
        <w:rPr>
          <w:rFonts w:eastAsiaTheme="minorEastAsia"/>
        </w:rPr>
        <w:t xml:space="preserve"> its</w:t>
      </w:r>
      <w:r w:rsidRPr="14F7C6B6">
        <w:rPr>
          <w:rFonts w:eastAsiaTheme="minorEastAsia"/>
        </w:rPr>
        <w:t xml:space="preserve"> critical habitat. </w:t>
      </w:r>
      <w:r w:rsidRPr="004606B4">
        <w:rPr>
          <w:rFonts w:eastAsiaTheme="minorEastAsia"/>
        </w:rPr>
        <w:t>Step 2</w:t>
      </w:r>
      <w:r>
        <w:rPr>
          <w:rFonts w:eastAsiaTheme="minorEastAsia"/>
        </w:rPr>
        <w:t xml:space="preserve"> </w:t>
      </w:r>
      <w:r w:rsidRPr="004606B4">
        <w:rPr>
          <w:rFonts w:eastAsiaTheme="minorEastAsia"/>
        </w:rPr>
        <w:t>uses a more refined spatial overlap with specific pesticide use sites to calculate the portion of the</w:t>
      </w:r>
      <w:r>
        <w:rPr>
          <w:rFonts w:eastAsiaTheme="minorEastAsia"/>
        </w:rPr>
        <w:t xml:space="preserve"> </w:t>
      </w:r>
      <w:r w:rsidRPr="004606B4">
        <w:rPr>
          <w:rFonts w:eastAsiaTheme="minorEastAsia"/>
        </w:rPr>
        <w:t xml:space="preserve">population exposed, considers life history information, </w:t>
      </w:r>
      <w:r>
        <w:rPr>
          <w:rFonts w:eastAsiaTheme="minorEastAsia"/>
        </w:rPr>
        <w:t>considers actual pesticide applications (usage data), additional</w:t>
      </w:r>
      <w:r w:rsidRPr="004606B4">
        <w:rPr>
          <w:rFonts w:eastAsiaTheme="minorEastAsia"/>
        </w:rPr>
        <w:t xml:space="preserve"> toxicity data</w:t>
      </w:r>
      <w:r>
        <w:rPr>
          <w:rFonts w:eastAsiaTheme="minorEastAsia"/>
        </w:rPr>
        <w:t>,</w:t>
      </w:r>
      <w:r w:rsidRPr="004606B4">
        <w:rPr>
          <w:rFonts w:eastAsiaTheme="minorEastAsia"/>
        </w:rPr>
        <w:t xml:space="preserve"> and </w:t>
      </w:r>
      <w:r>
        <w:rPr>
          <w:rFonts w:eastAsiaTheme="minorEastAsia"/>
        </w:rPr>
        <w:t xml:space="preserve">a range of </w:t>
      </w:r>
      <w:r w:rsidRPr="004606B4">
        <w:rPr>
          <w:rFonts w:eastAsiaTheme="minorEastAsia"/>
        </w:rPr>
        <w:t>potential exposure</w:t>
      </w:r>
      <w:r>
        <w:rPr>
          <w:rFonts w:eastAsiaTheme="minorEastAsia"/>
        </w:rPr>
        <w:t xml:space="preserve"> </w:t>
      </w:r>
      <w:r w:rsidRPr="004606B4">
        <w:rPr>
          <w:rFonts w:eastAsiaTheme="minorEastAsia"/>
        </w:rPr>
        <w:t xml:space="preserve">concentrations. </w:t>
      </w:r>
      <w:r w:rsidRPr="14F7C6B6">
        <w:rPr>
          <w:rFonts w:eastAsiaTheme="minorEastAsia"/>
        </w:rPr>
        <w:t>If EPA makes a NLAA determination, then EPA must informally consult with the Services</w:t>
      </w:r>
      <w:r>
        <w:rPr>
          <w:rFonts w:eastAsiaTheme="minorEastAsia"/>
        </w:rPr>
        <w:t xml:space="preserve"> to seek concurrence on the determination</w:t>
      </w:r>
      <w:r w:rsidRPr="14F7C6B6">
        <w:rPr>
          <w:rFonts w:eastAsiaTheme="minorEastAsia"/>
        </w:rPr>
        <w:t>. Otherwise, if EPA makes a LAA determination, EPA must engage in formal consultation with the Services. Details on the method, models and tools used for making NE, NLAA and LAA determinations are provided in the Revised Method document.</w:t>
      </w:r>
      <w:r>
        <w:rPr>
          <w:rStyle w:val="FootnoteReference"/>
          <w:rFonts w:eastAsiaTheme="minorEastAsia"/>
        </w:rPr>
        <w:footnoteReference w:id="2"/>
      </w:r>
    </w:p>
    <w:p w14:paraId="0C80DC66" w14:textId="77777777" w:rsidR="00D205F1" w:rsidRDefault="00D205F1" w:rsidP="00D205F1">
      <w:pPr>
        <w:rPr>
          <w:rFonts w:eastAsiaTheme="minorEastAsia"/>
        </w:rPr>
      </w:pPr>
    </w:p>
    <w:p w14:paraId="4693F053" w14:textId="21763B00" w:rsidR="00D205F1" w:rsidRPr="007F52A1" w:rsidRDefault="00D205F1" w:rsidP="00D205F1">
      <w:pPr>
        <w:rPr>
          <w:rFonts w:ascii="Calibri" w:eastAsia="Calibri" w:hAnsi="Calibri" w:cs="Calibri"/>
        </w:rPr>
      </w:pPr>
      <w:r w:rsidRPr="14F7C6B6">
        <w:rPr>
          <w:rFonts w:eastAsiaTheme="minorEastAsia"/>
        </w:rPr>
        <w:t xml:space="preserve">Practically, the LAA </w:t>
      </w:r>
      <w:r w:rsidRPr="005043BC">
        <w:rPr>
          <w:rFonts w:ascii="Calibri" w:eastAsia="Calibri" w:hAnsi="Calibri" w:cs="Calibri"/>
        </w:rPr>
        <w:t xml:space="preserve">threshold for a BE is very </w:t>
      </w:r>
      <w:r>
        <w:rPr>
          <w:rFonts w:ascii="Calibri" w:eastAsia="Calibri" w:hAnsi="Calibri" w:cs="Calibri"/>
        </w:rPr>
        <w:t>conservative</w:t>
      </w:r>
      <w:r w:rsidRPr="005043BC">
        <w:rPr>
          <w:rFonts w:ascii="Calibri" w:eastAsia="Calibri" w:hAnsi="Calibri" w:cs="Calibri"/>
        </w:rPr>
        <w:t xml:space="preserve"> as the </w:t>
      </w:r>
      <w:r>
        <w:rPr>
          <w:rFonts w:ascii="Calibri" w:eastAsia="Calibri" w:hAnsi="Calibri" w:cs="Calibri"/>
        </w:rPr>
        <w:t xml:space="preserve">likely predicted </w:t>
      </w:r>
      <w:r w:rsidRPr="005043BC">
        <w:rPr>
          <w:rFonts w:ascii="Calibri" w:eastAsia="Calibri" w:hAnsi="Calibri" w:cs="Calibri"/>
        </w:rPr>
        <w:t xml:space="preserve">“take” of even one individual of a species triggers </w:t>
      </w:r>
      <w:r>
        <w:rPr>
          <w:rFonts w:ascii="Calibri" w:eastAsia="Calibri" w:hAnsi="Calibri" w:cs="Calibri"/>
        </w:rPr>
        <w:t xml:space="preserve">an </w:t>
      </w:r>
      <w:r w:rsidRPr="005043BC">
        <w:rPr>
          <w:rFonts w:ascii="Calibri" w:eastAsia="Calibri" w:hAnsi="Calibri" w:cs="Calibri"/>
        </w:rPr>
        <w:t xml:space="preserve">LAA </w:t>
      </w:r>
      <w:r>
        <w:rPr>
          <w:rFonts w:ascii="Calibri" w:eastAsia="Calibri" w:hAnsi="Calibri" w:cs="Calibri"/>
        </w:rPr>
        <w:t xml:space="preserve">determination </w:t>
      </w:r>
      <w:r w:rsidRPr="005043BC">
        <w:rPr>
          <w:rFonts w:ascii="Calibri" w:eastAsia="Calibri" w:hAnsi="Calibri" w:cs="Calibri"/>
        </w:rPr>
        <w:t>(even if that species is almost recovered</w:t>
      </w:r>
      <w:r w:rsidRPr="14F7C6B6">
        <w:rPr>
          <w:rFonts w:ascii="Calibri" w:eastAsia="Calibri" w:hAnsi="Calibri" w:cs="Calibri"/>
        </w:rPr>
        <w:t>).</w:t>
      </w:r>
      <w:r w:rsidRPr="005043BC">
        <w:rPr>
          <w:rFonts w:ascii="Calibri" w:eastAsia="Calibri" w:hAnsi="Calibri" w:cs="Calibri"/>
        </w:rPr>
        <w:t xml:space="preserve"> This often results in a high number of </w:t>
      </w:r>
      <w:r>
        <w:rPr>
          <w:rFonts w:ascii="Calibri" w:eastAsia="Calibri" w:hAnsi="Calibri" w:cs="Calibri"/>
        </w:rPr>
        <w:t>MA and LAA</w:t>
      </w:r>
      <w:r w:rsidRPr="005043BC">
        <w:rPr>
          <w:rFonts w:ascii="Calibri" w:eastAsia="Calibri" w:hAnsi="Calibri" w:cs="Calibri"/>
        </w:rPr>
        <w:t xml:space="preserve"> determinations in a BE. </w:t>
      </w:r>
      <w:r>
        <w:rPr>
          <w:rFonts w:ascii="Calibri" w:eastAsia="Calibri" w:hAnsi="Calibri" w:cs="Calibri"/>
        </w:rPr>
        <w:t>An LAA determination in the</w:t>
      </w:r>
      <w:r w:rsidRPr="005043BC">
        <w:rPr>
          <w:rFonts w:ascii="Calibri" w:eastAsia="Calibri" w:hAnsi="Calibri" w:cs="Calibri"/>
        </w:rPr>
        <w:t xml:space="preserve"> BE, however, should not be interpreted to </w:t>
      </w:r>
      <w:r>
        <w:rPr>
          <w:rFonts w:ascii="Calibri" w:eastAsia="Calibri" w:hAnsi="Calibri" w:cs="Calibri"/>
        </w:rPr>
        <w:t xml:space="preserve">suggest </w:t>
      </w:r>
      <w:r w:rsidRPr="005043BC">
        <w:rPr>
          <w:rFonts w:ascii="Calibri" w:eastAsia="Calibri" w:hAnsi="Calibri" w:cs="Calibri"/>
        </w:rPr>
        <w:t xml:space="preserve">that EPA has made a determination that </w:t>
      </w:r>
      <w:r w:rsidR="000D476C">
        <w:t>sima</w:t>
      </w:r>
      <w:r>
        <w:t>zine</w:t>
      </w:r>
      <w:r w:rsidRPr="005043BC">
        <w:rPr>
          <w:rFonts w:ascii="Calibri" w:eastAsia="Calibri" w:hAnsi="Calibri" w:cs="Calibri"/>
        </w:rPr>
        <w:t xml:space="preserve"> is putting a species in </w:t>
      </w:r>
      <w:r w:rsidRPr="14F7C6B6">
        <w:rPr>
          <w:rFonts w:ascii="Calibri" w:eastAsia="Calibri" w:hAnsi="Calibri" w:cs="Calibri"/>
        </w:rPr>
        <w:t>jeopardy</w:t>
      </w:r>
      <w:r>
        <w:rPr>
          <w:rFonts w:ascii="Calibri" w:eastAsia="Calibri" w:hAnsi="Calibri" w:cs="Calibri"/>
        </w:rPr>
        <w:t xml:space="preserve"> or adversely modifying its critical habitat</w:t>
      </w:r>
      <w:r w:rsidRPr="005043BC">
        <w:rPr>
          <w:rFonts w:ascii="Calibri" w:eastAsia="Calibri" w:hAnsi="Calibri" w:cs="Calibri"/>
        </w:rPr>
        <w:t>. Those determinations are made in the course of Step 3</w:t>
      </w:r>
      <w:r>
        <w:rPr>
          <w:rFonts w:ascii="Calibri" w:eastAsia="Calibri" w:hAnsi="Calibri" w:cs="Calibri"/>
        </w:rPr>
        <w:t xml:space="preserve"> by the National Marine Fisheries Service and the Fish and Wildlife Service (referred to as The Services) using additional information not considered in Steps 1 and 2</w:t>
      </w:r>
      <w:r w:rsidRPr="005043BC">
        <w:rPr>
          <w:rFonts w:ascii="Calibri" w:eastAsia="Calibri" w:hAnsi="Calibri" w:cs="Calibri"/>
        </w:rPr>
        <w:t>.</w:t>
      </w:r>
    </w:p>
    <w:p w14:paraId="34776DA1" w14:textId="77777777" w:rsidR="00D205F1" w:rsidRDefault="00D205F1" w:rsidP="00D205F1">
      <w:pPr>
        <w:rPr>
          <w:rFonts w:eastAsiaTheme="minorEastAsia"/>
        </w:rPr>
      </w:pPr>
    </w:p>
    <w:p w14:paraId="64B58C48" w14:textId="77777777" w:rsidR="00D205F1" w:rsidRDefault="00D205F1" w:rsidP="00D205F1">
      <w:pPr>
        <w:rPr>
          <w:rFonts w:eastAsiaTheme="minorEastAsia"/>
        </w:rPr>
      </w:pPr>
      <w:r w:rsidRPr="14F7C6B6">
        <w:rPr>
          <w:rFonts w:eastAsiaTheme="minorEastAsia"/>
        </w:rPr>
        <w:t>Step 3 is part of the formal consultation process. Here, the Services prepare a biological opinion (</w:t>
      </w:r>
      <w:proofErr w:type="spellStart"/>
      <w:r>
        <w:rPr>
          <w:rFonts w:eastAsiaTheme="minorEastAsia"/>
        </w:rPr>
        <w:t>B</w:t>
      </w:r>
      <w:r w:rsidRPr="14F7C6B6">
        <w:rPr>
          <w:rFonts w:eastAsiaTheme="minorEastAsia"/>
        </w:rPr>
        <w:t>i</w:t>
      </w:r>
      <w:r>
        <w:rPr>
          <w:rFonts w:eastAsiaTheme="minorEastAsia"/>
        </w:rPr>
        <w:t>O</w:t>
      </w:r>
      <w:r w:rsidRPr="14F7C6B6">
        <w:rPr>
          <w:rFonts w:eastAsiaTheme="minorEastAsia"/>
        </w:rPr>
        <w:t>p</w:t>
      </w:r>
      <w:proofErr w:type="spellEnd"/>
      <w:r w:rsidRPr="14F7C6B6">
        <w:rPr>
          <w:rFonts w:eastAsiaTheme="minorEastAsia"/>
        </w:rPr>
        <w:t xml:space="preserve">), which builds upon EPA’s BE to determine whether the potential adverse effect </w:t>
      </w:r>
      <w:r>
        <w:rPr>
          <w:rFonts w:eastAsiaTheme="minorEastAsia"/>
        </w:rPr>
        <w:t xml:space="preserve">is likely to </w:t>
      </w:r>
      <w:r w:rsidRPr="14F7C6B6">
        <w:rPr>
          <w:rFonts w:eastAsiaTheme="minorEastAsia"/>
        </w:rPr>
        <w:t xml:space="preserve">jeopardize the continued existence of a species or destroy or adversely modify critical habitat. The analysis in Step 3 considers whether the anticipated adverse effects to individuals described in the BE will negatively </w:t>
      </w:r>
      <w:r w:rsidRPr="14F7C6B6">
        <w:rPr>
          <w:rFonts w:eastAsiaTheme="minorEastAsia"/>
        </w:rPr>
        <w:lastRenderedPageBreak/>
        <w:t>affect populations and the species they comprise such that they jeopardize the continued existence of the species.</w:t>
      </w:r>
    </w:p>
    <w:p w14:paraId="23D39B59" w14:textId="77777777" w:rsidR="00D205F1" w:rsidRDefault="00D205F1" w:rsidP="00D205F1">
      <w:pPr>
        <w:rPr>
          <w:rFonts w:eastAsiaTheme="minorEastAsia"/>
        </w:rPr>
      </w:pPr>
    </w:p>
    <w:p w14:paraId="07FB5C1C" w14:textId="7DD9CC17" w:rsidR="00D205F1" w:rsidRDefault="00D205F1" w:rsidP="00D205F1">
      <w:pPr>
        <w:rPr>
          <w:rFonts w:cstheme="minorHAnsi"/>
        </w:rPr>
      </w:pPr>
      <w:bookmarkStart w:id="0" w:name="_Hlk86746221"/>
      <w:r>
        <w:rPr>
          <w:rFonts w:cstheme="minorHAnsi"/>
        </w:rPr>
        <w:t xml:space="preserve">These documents reflect the final biological evaluation for </w:t>
      </w:r>
      <w:r w:rsidR="000D476C">
        <w:rPr>
          <w:rFonts w:cstheme="minorHAnsi"/>
        </w:rPr>
        <w:t>sima</w:t>
      </w:r>
      <w:r>
        <w:rPr>
          <w:rFonts w:cstheme="minorHAnsi"/>
        </w:rPr>
        <w:t xml:space="preserve">zine. </w:t>
      </w:r>
      <w:bookmarkStart w:id="1" w:name="_Hlk87210376"/>
      <w:r>
        <w:rPr>
          <w:rFonts w:cstheme="minorHAnsi"/>
        </w:rPr>
        <w:t xml:space="preserve">In regard to addressing public comments and initiating consultation with the Services under Section 7, </w:t>
      </w:r>
      <w:bookmarkEnd w:id="0"/>
      <w:r w:rsidRPr="00687B41">
        <w:rPr>
          <w:rFonts w:cstheme="minorHAnsi"/>
        </w:rPr>
        <w:t xml:space="preserve">EPA carefully considered the comments to determine if any updates to the BEs were necessary. In many cases the information or data submitted in </w:t>
      </w:r>
      <w:r>
        <w:rPr>
          <w:rFonts w:cstheme="minorHAnsi"/>
        </w:rPr>
        <w:t xml:space="preserve">the </w:t>
      </w:r>
      <w:r w:rsidRPr="00687B41">
        <w:rPr>
          <w:rFonts w:cstheme="minorHAnsi"/>
        </w:rPr>
        <w:t>comments is expected to have little bearing on the likelihood of impacting one individual, considering the conservative nature of the NE/LAA/NLAA determinations. Early in the consultation, we plan to identify species that may need</w:t>
      </w:r>
      <w:r>
        <w:rPr>
          <w:rFonts w:cstheme="minorHAnsi"/>
        </w:rPr>
        <w:t xml:space="preserve"> </w:t>
      </w:r>
      <w:bookmarkStart w:id="2" w:name="_Hlk87107133"/>
      <w:r>
        <w:rPr>
          <w:rFonts w:cstheme="minorHAnsi"/>
        </w:rPr>
        <w:t>additional data refinements to be used when considering mitigation options</w:t>
      </w:r>
      <w:bookmarkEnd w:id="2"/>
      <w:r>
        <w:rPr>
          <w:rFonts w:cstheme="minorHAnsi"/>
        </w:rPr>
        <w:t xml:space="preserve">. </w:t>
      </w:r>
      <w:r w:rsidRPr="00687B41">
        <w:rPr>
          <w:rFonts w:cstheme="minorHAnsi"/>
        </w:rPr>
        <w:t xml:space="preserve">Where we received </w:t>
      </w:r>
      <w:r>
        <w:rPr>
          <w:rFonts w:cstheme="minorHAnsi"/>
        </w:rPr>
        <w:t xml:space="preserve">public </w:t>
      </w:r>
      <w:r w:rsidRPr="00687B41">
        <w:rPr>
          <w:rFonts w:cstheme="minorHAnsi"/>
        </w:rPr>
        <w:t>comments and/or data that are useful for these purposes, we will consider it at that time.</w:t>
      </w:r>
      <w:bookmarkEnd w:id="1"/>
      <w:r>
        <w:rPr>
          <w:rFonts w:cstheme="minorHAnsi"/>
        </w:rPr>
        <w:t xml:space="preserve"> </w:t>
      </w:r>
    </w:p>
    <w:p w14:paraId="39DB6B47" w14:textId="77777777" w:rsidR="000F3FE0" w:rsidRDefault="000F3FE0" w:rsidP="00CE1C66">
      <w:pPr>
        <w:rPr>
          <w:rFonts w:eastAsiaTheme="minorEastAsia"/>
        </w:rPr>
      </w:pPr>
    </w:p>
    <w:p w14:paraId="52A4FB41" w14:textId="77777777" w:rsidR="00C76A8B" w:rsidRDefault="00C76A8B" w:rsidP="00CE1C66"/>
    <w:p w14:paraId="6DC61047" w14:textId="4FB7E17A" w:rsidR="00641ABE" w:rsidRPr="00A47034" w:rsidRDefault="00641ABE" w:rsidP="0098319A">
      <w:pPr>
        <w:pStyle w:val="Heading1"/>
      </w:pPr>
      <w:r w:rsidRPr="00E06F80">
        <w:t>General Information</w:t>
      </w:r>
    </w:p>
    <w:p w14:paraId="4B0CD0D6" w14:textId="77777777" w:rsidR="00761978" w:rsidRDefault="00761978" w:rsidP="00761978"/>
    <w:p w14:paraId="6E5E942D" w14:textId="175CBFA2" w:rsidR="008204F8" w:rsidRDefault="00A02B04" w:rsidP="0045224D">
      <w:pPr>
        <w:rPr>
          <w:rFonts w:cstheme="minorHAnsi"/>
        </w:rPr>
      </w:pPr>
      <w:r w:rsidRPr="009B4E42">
        <w:rPr>
          <w:rFonts w:cstheme="minorHAnsi"/>
        </w:rPr>
        <w:t xml:space="preserve">Simazine is </w:t>
      </w:r>
      <w:r w:rsidRPr="009B4E42">
        <w:t>one of the most widely used herbicides in North America</w:t>
      </w:r>
      <w:r>
        <w:rPr>
          <w:rFonts w:cstheme="minorHAnsi"/>
        </w:rPr>
        <w:t xml:space="preserve">. </w:t>
      </w:r>
      <w:r w:rsidRPr="009B4E42">
        <w:rPr>
          <w:rFonts w:cstheme="minorHAnsi"/>
        </w:rPr>
        <w:t>It is a chlorotriazine herbicide registered in the U.S. to control annual broadleaf and grass weeds</w:t>
      </w:r>
      <w:r>
        <w:rPr>
          <w:rFonts w:cstheme="minorHAnsi"/>
        </w:rPr>
        <w:t xml:space="preserve">. </w:t>
      </w:r>
      <w:r>
        <w:t>Si</w:t>
      </w:r>
      <w:r w:rsidRPr="003516E7">
        <w:t xml:space="preserve">mazine is used </w:t>
      </w:r>
      <w:r>
        <w:t>o</w:t>
      </w:r>
      <w:r w:rsidRPr="003516E7">
        <w:t>n several crops (orchard crops and vegetable crops), Christmas tree plantations</w:t>
      </w:r>
      <w:r>
        <w:t xml:space="preserve"> and</w:t>
      </w:r>
      <w:r w:rsidRPr="003516E7">
        <w:t xml:space="preserve"> tur</w:t>
      </w:r>
      <w:r w:rsidRPr="003F60A7">
        <w:t>f.</w:t>
      </w:r>
      <w:r w:rsidR="0061209B" w:rsidRPr="003F60A7">
        <w:rPr>
          <w:rFonts w:cstheme="minorHAnsi"/>
        </w:rPr>
        <w:t xml:space="preserve"> </w:t>
      </w:r>
      <w:r w:rsidR="008204F8" w:rsidRPr="008204F8">
        <w:t xml:space="preserve"> </w:t>
      </w:r>
      <w:r w:rsidR="008204F8" w:rsidRPr="008204F8">
        <w:rPr>
          <w:rFonts w:cstheme="minorHAnsi"/>
        </w:rPr>
        <w:t>Between 2013 and 2017, the annual total agricultural usage averaged approximately 2.9 million pounds of simazine active ingredient (a.i.), whereas the average total treated acreage was 2.5 million. During this time frame, the crops with the most usage in terms of annual average total pounds of active ingredient applied were corn (2,300,000 lbs), oranges (200,000 lbs), and wine grapes (80,0000 lbs). Most recent non-agricultural usage data from 2013 – 2017 shows that the largest use in terms of average annual pounds applied is for ornamentals that includes Christmas tree plantings (400,000 lbs.) and golf courses (200,000 lbs) (</w:t>
      </w:r>
      <w:r w:rsidR="008204F8" w:rsidRPr="008204F8">
        <w:rPr>
          <w:rFonts w:cstheme="minorHAnsi"/>
          <w:b/>
          <w:bCs/>
        </w:rPr>
        <w:t>APPENDIX 1-4</w:t>
      </w:r>
      <w:r w:rsidR="008204F8" w:rsidRPr="008204F8">
        <w:rPr>
          <w:rFonts w:cstheme="minorHAnsi"/>
        </w:rPr>
        <w:t>)</w:t>
      </w:r>
      <w:r w:rsidR="008204F8">
        <w:rPr>
          <w:rFonts w:cstheme="minorHAnsi"/>
        </w:rPr>
        <w:t>.</w:t>
      </w:r>
    </w:p>
    <w:p w14:paraId="42C3DE1D" w14:textId="77777777" w:rsidR="008204F8" w:rsidRDefault="008204F8" w:rsidP="0045224D">
      <w:pPr>
        <w:rPr>
          <w:rFonts w:cstheme="minorHAnsi"/>
        </w:rPr>
      </w:pPr>
    </w:p>
    <w:p w14:paraId="6A50B12E" w14:textId="4CBE9642" w:rsidR="00DF03C3" w:rsidRDefault="003F60A7" w:rsidP="0045224D">
      <w:r w:rsidRPr="003F60A7">
        <w:t>Thi</w:t>
      </w:r>
      <w:r w:rsidRPr="003516E7">
        <w:t xml:space="preserve">s </w:t>
      </w:r>
      <w:proofErr w:type="gramStart"/>
      <w:r w:rsidRPr="003516E7">
        <w:t>BE</w:t>
      </w:r>
      <w:proofErr w:type="gramEnd"/>
      <w:r w:rsidRPr="003516E7">
        <w:t xml:space="preserve"> assesses all currently registered labels and any agreed upon changes to these labels from the registrants. </w:t>
      </w:r>
      <w:r w:rsidR="004B55E7">
        <w:t>Prior to the completion of the November 2020 draft BE</w:t>
      </w:r>
      <w:r w:rsidR="008204F8" w:rsidRPr="003516E7">
        <w:t xml:space="preserve">, the </w:t>
      </w:r>
      <w:r w:rsidR="008204F8">
        <w:t xml:space="preserve">technical </w:t>
      </w:r>
      <w:r w:rsidR="008204F8" w:rsidRPr="003516E7">
        <w:t xml:space="preserve">registrants </w:t>
      </w:r>
      <w:r w:rsidR="004B55E7">
        <w:t>indicated their intent</w:t>
      </w:r>
      <w:r w:rsidR="008204F8" w:rsidRPr="003516E7">
        <w:t xml:space="preserve"> in the form of commitment lett</w:t>
      </w:r>
      <w:r w:rsidR="008204F8" w:rsidRPr="000F6F4D">
        <w:t>er</w:t>
      </w:r>
      <w:r w:rsidR="00266071">
        <w:t>s</w:t>
      </w:r>
      <w:r w:rsidR="008204F8">
        <w:t xml:space="preserve"> (</w:t>
      </w:r>
      <w:r w:rsidR="008204F8" w:rsidRPr="000F6F4D">
        <w:t xml:space="preserve">see </w:t>
      </w:r>
      <w:r w:rsidR="008204F8" w:rsidRPr="000D7D0E">
        <w:rPr>
          <w:b/>
        </w:rPr>
        <w:t>APPENDIX 1-</w:t>
      </w:r>
      <w:r w:rsidR="008204F8" w:rsidRPr="00C33B53">
        <w:rPr>
          <w:b/>
        </w:rPr>
        <w:t>2</w:t>
      </w:r>
      <w:r w:rsidR="008204F8" w:rsidRPr="002A434C">
        <w:rPr>
          <w:bCs/>
        </w:rPr>
        <w:t>)</w:t>
      </w:r>
      <w:r w:rsidR="008204F8" w:rsidRPr="003516E7">
        <w:t xml:space="preserve"> to update the </w:t>
      </w:r>
      <w:r w:rsidR="008204F8">
        <w:t>simazine</w:t>
      </w:r>
      <w:r w:rsidR="008204F8" w:rsidRPr="003516E7">
        <w:t xml:space="preserve"> </w:t>
      </w:r>
      <w:r w:rsidR="008204F8">
        <w:t xml:space="preserve">formulated product </w:t>
      </w:r>
      <w:r w:rsidR="008204F8" w:rsidRPr="003516E7">
        <w:t>labels to reflect the</w:t>
      </w:r>
      <w:r w:rsidR="008204F8">
        <w:t xml:space="preserve"> changes</w:t>
      </w:r>
      <w:r w:rsidR="008204F8" w:rsidRPr="003516E7">
        <w:t xml:space="preserve"> (</w:t>
      </w:r>
      <w:r w:rsidR="008204F8">
        <w:t xml:space="preserve">uses summarized in </w:t>
      </w:r>
      <w:r w:rsidR="008204F8" w:rsidRPr="003516E7">
        <w:rPr>
          <w:b/>
        </w:rPr>
        <w:t>APPENDIX 1-</w:t>
      </w:r>
      <w:r w:rsidR="008204F8">
        <w:rPr>
          <w:b/>
        </w:rPr>
        <w:t>3</w:t>
      </w:r>
      <w:r w:rsidR="008204F8" w:rsidRPr="003516E7">
        <w:t>).</w:t>
      </w:r>
      <w:r>
        <w:t xml:space="preserve"> </w:t>
      </w:r>
      <w:r w:rsidR="008204F8">
        <w:t>Major changes in the commitment letters include restriction of applications to the contiguous United States only</w:t>
      </w:r>
      <w:r w:rsidR="00266071">
        <w:t>, removal of certain uses,</w:t>
      </w:r>
      <w:r w:rsidR="008204F8">
        <w:t xml:space="preserve"> and implementation of new buffers and mandatory spray drift language (see </w:t>
      </w:r>
      <w:r w:rsidR="008204F8" w:rsidRPr="00D64951">
        <w:rPr>
          <w:b/>
          <w:bCs/>
        </w:rPr>
        <w:t>APPENDIX</w:t>
      </w:r>
      <w:r w:rsidR="008204F8">
        <w:t xml:space="preserve"> 1-2 for specific details). </w:t>
      </w:r>
      <w:r w:rsidR="004B55E7" w:rsidRPr="00DC5E41">
        <w:t xml:space="preserve">EPA will complete the review and approval of product labels reflecting the requested amendments by November 12, 2021. </w:t>
      </w:r>
      <w:r w:rsidR="00A02B04" w:rsidRPr="009B4E42">
        <w:t xml:space="preserve">Simazine may be applied by ground broadcast, band application, chemigation, or spot treatment. </w:t>
      </w:r>
      <w:r w:rsidR="00A02B04">
        <w:t>S</w:t>
      </w:r>
      <w:r w:rsidR="00A02B04" w:rsidRPr="009B4E42">
        <w:t>imazine has many preemergence uses in corn</w:t>
      </w:r>
      <w:r w:rsidR="0061209B" w:rsidRPr="00A02B04">
        <w:t xml:space="preserve"> (</w:t>
      </w:r>
      <w:r>
        <w:t xml:space="preserve">see </w:t>
      </w:r>
      <w:r w:rsidR="0061209B" w:rsidRPr="00A02B04">
        <w:rPr>
          <w:b/>
          <w:bCs/>
        </w:rPr>
        <w:t>APPENDIX 1-2</w:t>
      </w:r>
      <w:r w:rsidR="0061209B" w:rsidRPr="00A02B04">
        <w:t>).</w:t>
      </w:r>
    </w:p>
    <w:p w14:paraId="03444C95" w14:textId="77777777" w:rsidR="0061209B" w:rsidRDefault="0061209B" w:rsidP="0045224D"/>
    <w:p w14:paraId="2513319B" w14:textId="2BC72F76" w:rsidR="00A02B04" w:rsidRPr="00BE105A" w:rsidRDefault="00A02B04" w:rsidP="00A02B04">
      <w:r>
        <w:t xml:space="preserve">The main routes of dissipation for simazine are microbial degradation under aerobic conditions, runoff, and leaching. </w:t>
      </w:r>
      <w:r w:rsidR="00D36912">
        <w:t xml:space="preserve">Simazine’s primary transport routes from treated areas to aquatic habitats include spray drift and runoff. </w:t>
      </w:r>
      <w:r>
        <w:t>Because of its persistence and mobility, simazine can move into surface and ground water. Simazine has a low vapor pressure and Henry’s Law Constant, suggesting low potential for volatilization.</w:t>
      </w:r>
      <w:r w:rsidRPr="00BE105A">
        <w:rPr>
          <w:color w:val="000000" w:themeColor="text1"/>
        </w:rPr>
        <w:t xml:space="preserve"> </w:t>
      </w:r>
      <w:r>
        <w:rPr>
          <w:color w:val="000000" w:themeColor="text1"/>
        </w:rPr>
        <w:t>S</w:t>
      </w:r>
      <w:r w:rsidRPr="009B4E42">
        <w:rPr>
          <w:color w:val="000000" w:themeColor="text1"/>
        </w:rPr>
        <w:t>imazine is moderately soluble in water with reported aqueous solubility values ranging from 3.5 to 11 mg/L at 20-25</w:t>
      </w:r>
      <w:r w:rsidRPr="009B4E42">
        <w:rPr>
          <w:color w:val="000000" w:themeColor="text1"/>
          <w:vertAlign w:val="superscript"/>
        </w:rPr>
        <w:t>o</w:t>
      </w:r>
      <w:r w:rsidRPr="009B4E42">
        <w:rPr>
          <w:color w:val="000000" w:themeColor="text1"/>
        </w:rPr>
        <w:t>C.</w:t>
      </w:r>
      <w:r w:rsidRPr="009B4E42">
        <w:rPr>
          <w:lang w:val="en-CA"/>
        </w:rPr>
        <w:t xml:space="preserve"> </w:t>
      </w:r>
      <w:r w:rsidRPr="009B4E42">
        <w:rPr>
          <w:color w:val="000000" w:themeColor="text1"/>
        </w:rPr>
        <w:t>Bioaccumulation of simazine is expected to be low due to a low octanol water partitioning coefficient (K</w:t>
      </w:r>
      <w:r w:rsidRPr="009B4E42">
        <w:rPr>
          <w:color w:val="000000" w:themeColor="text1"/>
          <w:vertAlign w:val="subscript"/>
        </w:rPr>
        <w:t xml:space="preserve">ow </w:t>
      </w:r>
      <w:r w:rsidRPr="009B4E42">
        <w:rPr>
          <w:color w:val="000000" w:themeColor="text1"/>
        </w:rPr>
        <w:t>= 122) and low bioconcentration factors (BCF). Soil sorption coefficients for simazine (K</w:t>
      </w:r>
      <w:r w:rsidRPr="009B4E42">
        <w:rPr>
          <w:color w:val="000000" w:themeColor="text1"/>
          <w:vertAlign w:val="subscript"/>
        </w:rPr>
        <w:t>F</w:t>
      </w:r>
      <w:r w:rsidRPr="009B4E42">
        <w:rPr>
          <w:color w:val="000000" w:themeColor="text1"/>
        </w:rPr>
        <w:t xml:space="preserve">) range from </w:t>
      </w:r>
      <w:r w:rsidRPr="009B4E42">
        <w:t>0.5 to 4.3 ml/g (</w:t>
      </w:r>
      <w:r w:rsidRPr="009B4E42">
        <w:rPr>
          <w:vertAlign w:val="superscript"/>
        </w:rPr>
        <w:t>1</w:t>
      </w:r>
      <w:r w:rsidRPr="009B4E42">
        <w:t>/</w:t>
      </w:r>
      <w:r w:rsidRPr="009B4E42">
        <w:rPr>
          <w:vertAlign w:val="subscript"/>
        </w:rPr>
        <w:t>n</w:t>
      </w:r>
      <w:r w:rsidRPr="009B4E42">
        <w:t>=0.79-1.40) (MRID 41442903)</w:t>
      </w:r>
      <w:r w:rsidRPr="00BE105A">
        <w:t xml:space="preserve">. Information on leaching and adsorption/desorption indicate that simazine is considered moderately mobile </w:t>
      </w:r>
      <w:r w:rsidRPr="00BE105A">
        <w:lastRenderedPageBreak/>
        <w:t>according to the Food and Agricultural Organization (FAO) mobility classification system</w:t>
      </w:r>
      <w:r w:rsidRPr="00BE105A">
        <w:rPr>
          <w:rStyle w:val="FootnoteReference"/>
        </w:rPr>
        <w:footnoteReference w:id="3"/>
      </w:r>
      <w:r w:rsidRPr="00BE105A">
        <w:t xml:space="preserve">. Additional details on the fate of simazine are provided in </w:t>
      </w:r>
      <w:r w:rsidRPr="00BE105A">
        <w:rPr>
          <w:b/>
        </w:rPr>
        <w:t>Chapter 3</w:t>
      </w:r>
      <w:r w:rsidRPr="00BE105A">
        <w:t xml:space="preserve"> of the Biological Evaluation.</w:t>
      </w:r>
      <w:r w:rsidR="00816190" w:rsidRPr="00816190">
        <w:t xml:space="preserve"> </w:t>
      </w:r>
      <w:r w:rsidR="00816190">
        <w:t xml:space="preserve">Residues of concern are discussed in </w:t>
      </w:r>
      <w:r w:rsidR="000F3FE0" w:rsidRPr="005426A4">
        <w:rPr>
          <w:b/>
          <w:bCs/>
        </w:rPr>
        <w:t xml:space="preserve">APPENDIX </w:t>
      </w:r>
      <w:r w:rsidR="00816190" w:rsidRPr="005426A4">
        <w:rPr>
          <w:b/>
          <w:bCs/>
        </w:rPr>
        <w:t>1-8</w:t>
      </w:r>
      <w:r w:rsidR="00816190">
        <w:t>.</w:t>
      </w:r>
    </w:p>
    <w:p w14:paraId="2AA0BC6C" w14:textId="77777777" w:rsidR="00761978" w:rsidRPr="00761978" w:rsidRDefault="00761978" w:rsidP="0045224D"/>
    <w:p w14:paraId="03572680" w14:textId="5178D236" w:rsidR="00A02B04" w:rsidRPr="00946398" w:rsidRDefault="00A02B04" w:rsidP="008C01AA">
      <w:pPr>
        <w:rPr>
          <w:rFonts w:cstheme="minorHAnsi"/>
        </w:rPr>
      </w:pPr>
      <w:r>
        <w:rPr>
          <w:rFonts w:cstheme="minorHAnsi"/>
        </w:rPr>
        <w:t>Similar to the other chlor</w:t>
      </w:r>
      <w:r w:rsidR="006E1AAE">
        <w:rPr>
          <w:rFonts w:cstheme="minorHAnsi"/>
        </w:rPr>
        <w:t>o</w:t>
      </w:r>
      <w:r>
        <w:rPr>
          <w:rFonts w:cstheme="minorHAnsi"/>
        </w:rPr>
        <w:t>triazine</w:t>
      </w:r>
      <w:r w:rsidRPr="00946398">
        <w:rPr>
          <w:rFonts w:cstheme="minorHAnsi"/>
        </w:rPr>
        <w:t xml:space="preserve"> herbicide</w:t>
      </w:r>
      <w:r>
        <w:rPr>
          <w:rFonts w:cstheme="minorHAnsi"/>
        </w:rPr>
        <w:t xml:space="preserve"> with</w:t>
      </w:r>
      <w:r w:rsidRPr="00946398">
        <w:rPr>
          <w:rFonts w:cstheme="minorHAnsi"/>
        </w:rPr>
        <w:t xml:space="preserve"> current registrations in the United States</w:t>
      </w:r>
      <w:r>
        <w:rPr>
          <w:rFonts w:cstheme="minorHAnsi"/>
        </w:rPr>
        <w:t xml:space="preserve"> (atrazine), simazine works by</w:t>
      </w:r>
      <w:r w:rsidRPr="00946398">
        <w:rPr>
          <w:rFonts w:cstheme="minorHAnsi"/>
        </w:rPr>
        <w:t xml:space="preserve"> bind</w:t>
      </w:r>
      <w:r>
        <w:rPr>
          <w:rFonts w:cstheme="minorHAnsi"/>
        </w:rPr>
        <w:t>ing</w:t>
      </w:r>
      <w:r w:rsidRPr="00946398">
        <w:rPr>
          <w:rFonts w:cstheme="minorHAnsi"/>
        </w:rPr>
        <w:t xml:space="preserve"> with a protein complex of the photosystem II in chloroplast photosynthetic membranes (Schulz et al., 1990).</w:t>
      </w:r>
      <w:r w:rsidR="008C01AA" w:rsidRPr="00946398">
        <w:rPr>
          <w:rFonts w:cstheme="minorHAnsi"/>
        </w:rPr>
        <w:t xml:space="preserve"> The result is an inhibition in the transfer of electrons through the light reactions of photosynthesis that in turn inhibits the formation and release of oxygen, production of adenosine triphosphate, and the fixation of carbon dioxide into sugars.</w:t>
      </w:r>
      <w:r w:rsidR="008C01AA">
        <w:rPr>
          <w:rFonts w:cstheme="minorHAnsi"/>
        </w:rPr>
        <w:t xml:space="preserve"> </w:t>
      </w:r>
      <w:r w:rsidR="008204F8" w:rsidRPr="008204F8">
        <w:rPr>
          <w:rFonts w:cstheme="minorHAnsi"/>
        </w:rPr>
        <w:t xml:space="preserve"> Plant death results from starvation and oxidative damage caused by the breakdown in photosynthesis. </w:t>
      </w:r>
      <w:r w:rsidR="008C01AA">
        <w:rPr>
          <w:rFonts w:cstheme="minorHAnsi"/>
        </w:rPr>
        <w:t xml:space="preserve">The </w:t>
      </w:r>
      <w:r w:rsidR="00D205F1">
        <w:rPr>
          <w:rFonts w:cstheme="minorHAnsi"/>
        </w:rPr>
        <w:t xml:space="preserve">two </w:t>
      </w:r>
      <w:r w:rsidRPr="00946398">
        <w:rPr>
          <w:rFonts w:cstheme="minorHAnsi"/>
        </w:rPr>
        <w:t>chlorotriazines result in similar herbicidal effects to terrestrial and aquatic plants. </w:t>
      </w:r>
    </w:p>
    <w:p w14:paraId="3B4C90AE" w14:textId="77777777" w:rsidR="00A02B04" w:rsidRDefault="00A02B04" w:rsidP="0045224D">
      <w:pPr>
        <w:rPr>
          <w:rFonts w:ascii="Calibri" w:eastAsia="Calibri" w:hAnsi="Calibri" w:cs="Calibri"/>
          <w:color w:val="000000"/>
          <w:highlight w:val="yellow"/>
        </w:rPr>
      </w:pPr>
    </w:p>
    <w:p w14:paraId="64F00F28" w14:textId="13748E5F" w:rsidR="00D8211E" w:rsidRDefault="008C01AA" w:rsidP="0045224D">
      <w:r w:rsidRPr="009B4E42">
        <w:t xml:space="preserve">Simazine is slightly toxic to birds and mammals and is </w:t>
      </w:r>
      <w:r w:rsidRPr="009B4E42" w:rsidDel="00DC2F11">
        <w:t xml:space="preserve">practically non-toxic </w:t>
      </w:r>
      <w:r w:rsidRPr="009B4E42">
        <w:t xml:space="preserve">to terrestrial invertebrates on an acute exposure basis. In most terrestrial animal species, </w:t>
      </w:r>
      <w:r>
        <w:t>sublethal</w:t>
      </w:r>
      <w:r w:rsidRPr="009B4E42">
        <w:t xml:space="preserve"> effects are the predominant concern and are discussed further below.</w:t>
      </w:r>
      <w:r w:rsidRPr="008C01AA">
        <w:t xml:space="preserve"> </w:t>
      </w:r>
      <w:r w:rsidR="00A217A1">
        <w:t>On an acute exposure basis, s</w:t>
      </w:r>
      <w:r w:rsidRPr="009B4E42">
        <w:t>imazine is moderately toxic to freshwater and estuarine/marine fish and estuarine/marine invertebrates, and highly toxic to freshwater aquatic invertebrates.</w:t>
      </w:r>
      <w:r>
        <w:t xml:space="preserve"> In both terrestrial and aquatic ani</w:t>
      </w:r>
      <w:r w:rsidRPr="008C01AA">
        <w:t>mals,</w:t>
      </w:r>
      <w:r w:rsidR="00CA023E" w:rsidRPr="008C01AA">
        <w:t xml:space="preserve"> </w:t>
      </w:r>
      <w:r w:rsidR="00994F37" w:rsidRPr="008C01AA">
        <w:t>simazine</w:t>
      </w:r>
      <w:r w:rsidR="00B32F80" w:rsidRPr="008C01AA">
        <w:t xml:space="preserve"> demonstrate</w:t>
      </w:r>
      <w:r w:rsidRPr="008C01AA">
        <w:t>s</w:t>
      </w:r>
      <w:r w:rsidR="00B32F80" w:rsidRPr="008C01AA">
        <w:t xml:space="preserve"> a variety of growth and reproductive effects at a range of </w:t>
      </w:r>
      <w:r w:rsidR="00A217A1">
        <w:t xml:space="preserve">chronic </w:t>
      </w:r>
      <w:r w:rsidR="00B32F80" w:rsidRPr="008C01AA">
        <w:t>exposure</w:t>
      </w:r>
      <w:r w:rsidR="00A217A1">
        <w:t xml:space="preserve"> </w:t>
      </w:r>
      <w:r w:rsidR="00B32F80" w:rsidRPr="008C01AA">
        <w:t xml:space="preserve">concentrations. </w:t>
      </w:r>
      <w:r w:rsidR="00994F37" w:rsidRPr="008C01AA">
        <w:t>Simazine</w:t>
      </w:r>
      <w:r w:rsidR="00550153" w:rsidRPr="008C01AA">
        <w:t xml:space="preserve"> has demonstrated adverse effects on </w:t>
      </w:r>
      <w:r w:rsidR="00675167" w:rsidRPr="008C01AA">
        <w:t xml:space="preserve">growth to </w:t>
      </w:r>
      <w:r w:rsidR="00550153" w:rsidRPr="008C01AA">
        <w:t>both vascular and non-vascular aquatic plants</w:t>
      </w:r>
      <w:r w:rsidR="00675167" w:rsidRPr="008C01AA">
        <w:t xml:space="preserve"> as well as terrestrial plants. </w:t>
      </w:r>
      <w:r w:rsidR="00092FF0" w:rsidRPr="008C01AA">
        <w:t xml:space="preserve">There are </w:t>
      </w:r>
      <w:r w:rsidR="00783B1B" w:rsidRPr="008C01AA">
        <w:t xml:space="preserve">reported ecological </w:t>
      </w:r>
      <w:r w:rsidR="00092FF0" w:rsidRPr="008C01AA">
        <w:t xml:space="preserve">incidents involving </w:t>
      </w:r>
      <w:r w:rsidR="00994F37" w:rsidRPr="008C01AA">
        <w:t>simazine</w:t>
      </w:r>
      <w:r w:rsidR="00092FF0" w:rsidRPr="008C01AA">
        <w:t xml:space="preserve"> use </w:t>
      </w:r>
      <w:r w:rsidR="003A6483" w:rsidRPr="008C01AA">
        <w:t>for</w:t>
      </w:r>
      <w:r w:rsidR="00092FF0" w:rsidRPr="008C01AA">
        <w:t xml:space="preserve"> birds, mammals, </w:t>
      </w:r>
      <w:r>
        <w:t xml:space="preserve">fish, </w:t>
      </w:r>
      <w:r w:rsidR="00092FF0" w:rsidRPr="008C01AA">
        <w:t>terrestrial invertebrates, and terrestria</w:t>
      </w:r>
      <w:r>
        <w:t>l</w:t>
      </w:r>
      <w:r w:rsidR="00092FF0" w:rsidRPr="008C01AA">
        <w:t xml:space="preserve"> plants</w:t>
      </w:r>
      <w:r w:rsidR="00A217A1">
        <w:t>. More details on the available toxicity data and incident reports are provided</w:t>
      </w:r>
      <w:r w:rsidR="00092FF0" w:rsidRPr="008C01AA">
        <w:t xml:space="preserve"> in </w:t>
      </w:r>
      <w:r w:rsidR="00092FF0" w:rsidRPr="008C01AA">
        <w:rPr>
          <w:b/>
          <w:bCs/>
        </w:rPr>
        <w:t>Chapter 2</w:t>
      </w:r>
      <w:r w:rsidR="00092FF0" w:rsidRPr="008C01AA">
        <w:t>.</w:t>
      </w:r>
    </w:p>
    <w:p w14:paraId="79869771" w14:textId="77777777" w:rsidR="000F3FE0" w:rsidRDefault="000F3FE0" w:rsidP="0045224D"/>
    <w:p w14:paraId="451D8CB4" w14:textId="77777777" w:rsidR="005721BD" w:rsidRPr="0045224D" w:rsidRDefault="005721BD"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3B6CCE73"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994F37" w:rsidRPr="00994F37">
        <w:rPr>
          <w:rFonts w:cs="Times New Roman"/>
        </w:rPr>
        <w:t>simazine</w:t>
      </w:r>
      <w:r w:rsidR="00525490" w:rsidRPr="00994F37">
        <w:rPr>
          <w:rFonts w:cs="Times New Roman"/>
        </w:rPr>
        <w:t xml:space="preserve"> uses in specific geographic regions within generic habitats (referred to as bins) using the </w:t>
      </w:r>
      <w:r w:rsidR="00525490" w:rsidRPr="00994F37">
        <w:t>Pesticide Root Zone Model (PRZM5) and the Variable Volume Water Model (VVWM)</w:t>
      </w:r>
      <w:r w:rsidR="00525490" w:rsidRPr="00994F37">
        <w:rPr>
          <w:rStyle w:val="FootnoteReference"/>
        </w:rPr>
        <w:footnoteReference w:id="4"/>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994F37" w:rsidRPr="00994F37">
        <w:t>simazine</w:t>
      </w:r>
      <w:r w:rsidR="00F53333" w:rsidRPr="00994F37">
        <w:t xml:space="preserve">. </w:t>
      </w:r>
      <w:r w:rsidR="00303775" w:rsidRPr="00994F37">
        <w:t>For terrestrial exposures, existing models [</w:t>
      </w:r>
      <w:r w:rsidR="008204F8">
        <w:rPr>
          <w:i/>
        </w:rPr>
        <w:t>i.e.</w:t>
      </w:r>
      <w:r w:rsidR="00303775" w:rsidRPr="00994F37">
        <w:t xml:space="preserve">, </w:t>
      </w:r>
      <w:proofErr w:type="spellStart"/>
      <w:r w:rsidR="00303775" w:rsidRPr="00994F37">
        <w:t>AgDRIFT</w:t>
      </w:r>
      <w:proofErr w:type="spellEnd"/>
      <w:r w:rsidR="00303775" w:rsidRPr="00994F37">
        <w:t xml:space="preserve">, earthworm fugacity model, Terrestrial </w:t>
      </w:r>
      <w:proofErr w:type="spellStart"/>
      <w:r w:rsidR="00303775" w:rsidRPr="00994F37">
        <w:t>Herpetofaunal</w:t>
      </w:r>
      <w:proofErr w:type="spellEnd"/>
      <w:r w:rsidR="00303775" w:rsidRPr="00994F37">
        <w:t xml:space="preserve"> Exposure Residue Program Simulation (T-HERPS), Terrestrial Residue Exposure model (T-REX) and portions of the Terrestrial Investigation Model (TIM)] were combined and modified into a single tool that is referred to as the </w:t>
      </w:r>
      <w:proofErr w:type="spellStart"/>
      <w:r w:rsidR="00303775" w:rsidRPr="00994F37">
        <w:t>MAGTool</w:t>
      </w:r>
      <w:proofErr w:type="spellEnd"/>
      <w:r w:rsidR="00303775" w:rsidRPr="00994F37">
        <w:t xml:space="preserve"> (</w:t>
      </w:r>
      <w:r w:rsidR="00303775" w:rsidRPr="00994F37">
        <w:rPr>
          <w:b/>
        </w:rPr>
        <w:t>Chapter 4</w:t>
      </w:r>
      <w:r w:rsidR="00303775" w:rsidRPr="00994F37">
        <w:t>).</w:t>
      </w:r>
      <w:r w:rsidR="00303775" w:rsidRPr="000C6A3E">
        <w:t xml:space="preserve"> </w:t>
      </w:r>
      <w:r w:rsidR="00C932E3">
        <w:t xml:space="preserve">This assessment replaces EPA’s </w:t>
      </w:r>
      <w:proofErr w:type="spellStart"/>
      <w:r w:rsidR="00C932E3">
        <w:t>TerrPlant</w:t>
      </w:r>
      <w:proofErr w:type="spellEnd"/>
      <w:r w:rsidR="00C932E3">
        <w:t xml:space="preserve"> model with the Plant Assessment Tool (PAT), the latter is a more refined exposure model for terrestrial, wetland and aquatic plants.</w:t>
      </w:r>
    </w:p>
    <w:p w14:paraId="5838EA1E" w14:textId="77777777" w:rsidR="000F3FE0" w:rsidRDefault="000F3FE0" w:rsidP="0045224D"/>
    <w:p w14:paraId="6C08764A" w14:textId="77777777" w:rsidR="00DC04D5" w:rsidRDefault="00DC04D5" w:rsidP="0045224D"/>
    <w:p w14:paraId="04280AA5" w14:textId="312B87B5" w:rsidR="00CF1313" w:rsidRDefault="00033DB4" w:rsidP="0098319A">
      <w:pPr>
        <w:pStyle w:val="Heading1"/>
      </w:pPr>
      <w:r w:rsidRPr="00F84F72">
        <w:lastRenderedPageBreak/>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51738D4B" w14:textId="1BBD4766" w:rsidR="007667F0" w:rsidRDefault="007667F0">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994F37">
        <w:t>simazine</w:t>
      </w:r>
      <w:r w:rsidRPr="000C6A3E">
        <w:t xml:space="preserve"> uses and then buffering them out to the off-site transport distance estimated using the </w:t>
      </w:r>
      <w:proofErr w:type="spellStart"/>
      <w:r w:rsidRPr="000C6A3E">
        <w:t>AgDRIFT</w:t>
      </w:r>
      <w:proofErr w:type="spellEnd"/>
      <w:r w:rsidRPr="000C6A3E">
        <w:t xml:space="preserve">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 </w:t>
      </w:r>
      <w:r w:rsidR="006E1AAE">
        <w:t xml:space="preserve">critical </w:t>
      </w:r>
      <w:r w:rsidRPr="000C6A3E">
        <w:t xml:space="preserve">habitats from the </w:t>
      </w:r>
      <w:r w:rsidR="006E1AAE" w:rsidRPr="000C6A3E">
        <w:t>FWS and NMFS</w:t>
      </w:r>
      <w:r w:rsidRPr="000C6A3E">
        <w:t>. In the contiguous United States</w:t>
      </w:r>
      <w:r w:rsidR="00B04AA7">
        <w:t xml:space="preserve"> (ConUS)</w:t>
      </w:r>
      <w:r w:rsidRPr="000C6A3E">
        <w:t>, agricultural potential use sites are represented using the USDA Crop Data Layer (CDL) (</w:t>
      </w:r>
      <w:r w:rsidRPr="002F0ED3">
        <w:rPr>
          <w:b/>
        </w:rPr>
        <w:t>A</w:t>
      </w:r>
      <w:r w:rsidR="00ED0D37">
        <w:rPr>
          <w:b/>
        </w:rPr>
        <w:t>PPENDIX</w:t>
      </w:r>
      <w:r w:rsidRPr="002F0ED3">
        <w:rPr>
          <w:b/>
        </w:rPr>
        <w:t xml:space="preserve"> 1-5</w:t>
      </w:r>
      <w:r w:rsidRPr="000C6A3E">
        <w:t xml:space="preserve">). </w:t>
      </w:r>
      <w:r w:rsidR="00B04AA7">
        <w:t xml:space="preserve">Because the simazine </w:t>
      </w:r>
      <w:r w:rsidR="004B55E7">
        <w:t xml:space="preserve">product labels are </w:t>
      </w:r>
      <w:r w:rsidR="00B04AA7">
        <w:t>limit</w:t>
      </w:r>
      <w:r w:rsidR="004B55E7">
        <w:t>ed</w:t>
      </w:r>
      <w:r w:rsidR="00B04AA7">
        <w:t xml:space="preserve"> </w:t>
      </w:r>
      <w:r w:rsidR="004B55E7">
        <w:t xml:space="preserve">to </w:t>
      </w:r>
      <w:r w:rsidR="00B04AA7">
        <w:t xml:space="preserve">use </w:t>
      </w:r>
      <w:r w:rsidR="004B55E7">
        <w:t xml:space="preserve">only in the </w:t>
      </w:r>
      <w:r w:rsidR="00B04AA7">
        <w:t xml:space="preserve">ConUS, spatial layers of use sites in AK, HI and the territories are not needed. </w:t>
      </w:r>
      <w:r w:rsidRPr="000C6A3E">
        <w:t>All species or critical habitats with some overlap of the action area and their range or designated critical habitat, or with some overlap on species that the listed species depends on (</w:t>
      </w:r>
      <w:r w:rsidRPr="000C6A3E">
        <w:rPr>
          <w:b/>
        </w:rPr>
        <w:t>Chapter 4</w:t>
      </w:r>
      <w:r w:rsidRPr="000C6A3E">
        <w:t xml:space="preserve">) </w:t>
      </w:r>
      <w:r w:rsidR="004B6CC4">
        <w:t>are</w:t>
      </w:r>
      <w:r w:rsidRPr="000C6A3E">
        <w:t xml:space="preserve"> assessed in the </w:t>
      </w:r>
      <w:proofErr w:type="spellStart"/>
      <w:r w:rsidRPr="000C6A3E">
        <w:t>MAGTool</w:t>
      </w:r>
      <w:proofErr w:type="spellEnd"/>
      <w:r w:rsidRPr="000C6A3E">
        <w:t xml:space="preserve"> to make LAA/NLAA determinations.</w:t>
      </w:r>
    </w:p>
    <w:p w14:paraId="1BCB376B" w14:textId="77777777" w:rsidR="000F3FE0" w:rsidRDefault="000F3FE0"/>
    <w:p w14:paraId="3C6AFD12" w14:textId="77777777" w:rsidR="00DC04D5" w:rsidRDefault="00DC04D5" w:rsidP="0098319A"/>
    <w:p w14:paraId="54323EAA" w14:textId="40EA8A5F" w:rsidR="00C633D9" w:rsidRPr="00033DB4" w:rsidRDefault="00033DB4" w:rsidP="0098319A">
      <w:pPr>
        <w:pStyle w:val="Heading1"/>
      </w:pPr>
      <w:r>
        <w:t>Effects Determinations</w:t>
      </w:r>
    </w:p>
    <w:p w14:paraId="75E557F5" w14:textId="60E1B7B8" w:rsidR="00631002" w:rsidRDefault="00631002" w:rsidP="0045224D"/>
    <w:p w14:paraId="7CC0A7A6" w14:textId="6CFB6B62" w:rsidR="00D205F1" w:rsidRDefault="00D205F1" w:rsidP="00D205F1">
      <w:pPr>
        <w:rPr>
          <w:b/>
          <w:bCs/>
        </w:rPr>
      </w:pPr>
      <w:r>
        <w:t>This BE makes effects determinations (NE, MA, NLAA, or LAA)</w:t>
      </w:r>
      <w:r>
        <w:rPr>
          <w:rStyle w:val="FootnoteReference"/>
        </w:rPr>
        <w:footnoteReference w:id="5"/>
      </w:r>
      <w:r>
        <w:t xml:space="preserve">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Under Step 1, EPA made</w:t>
      </w:r>
      <w:r w:rsidRPr="00C31041">
        <w:rPr>
          <w:rFonts w:eastAsia="Calibri" w:cs="Calibri"/>
        </w:rPr>
        <w:t xml:space="preserve"> </w:t>
      </w:r>
      <w:r>
        <w:rPr>
          <w:rFonts w:eastAsia="Calibri" w:cs="Calibri"/>
        </w:rPr>
        <w:t xml:space="preserve">NE determinations </w:t>
      </w:r>
      <w:r>
        <w:t xml:space="preserve">for </w:t>
      </w:r>
      <w:r w:rsidR="000D476C" w:rsidRPr="006B648C">
        <w:rPr>
          <w:rFonts w:eastAsia="Calibri" w:cs="Calibri"/>
        </w:rPr>
        <w:t>6</w:t>
      </w:r>
      <w:r w:rsidR="000D476C">
        <w:rPr>
          <w:rFonts w:eastAsia="Calibri" w:cs="Calibri"/>
        </w:rPr>
        <w:t>80</w:t>
      </w:r>
      <w:r w:rsidR="000D476C" w:rsidRPr="006B648C">
        <w:rPr>
          <w:rFonts w:eastAsia="Calibri" w:cs="Calibri"/>
        </w:rPr>
        <w:t xml:space="preserve"> species and 4</w:t>
      </w:r>
      <w:r w:rsidR="000D476C">
        <w:rPr>
          <w:rFonts w:eastAsia="Calibri" w:cs="Calibri"/>
        </w:rPr>
        <w:t>24</w:t>
      </w:r>
      <w:r w:rsidR="000D476C" w:rsidRPr="006B648C">
        <w:t xml:space="preserve"> </w:t>
      </w:r>
      <w:r w:rsidRPr="00861A28">
        <w:rPr>
          <w:rFonts w:eastAsia="Calibri" w:cs="Calibri"/>
        </w:rPr>
        <w:t>critical habitat</w:t>
      </w:r>
      <w:r>
        <w:rPr>
          <w:rFonts w:eastAsia="Calibri" w:cs="Calibri"/>
        </w:rPr>
        <w:t xml:space="preserve">s </w:t>
      </w:r>
      <w:r w:rsidRPr="008B4300">
        <w:t>because there was</w:t>
      </w:r>
      <w:r>
        <w:t xml:space="preserve"> either</w:t>
      </w:r>
      <w:r w:rsidRPr="008B4300">
        <w:t xml:space="preserve"> no overlap between the species range/critical habitat and the action area</w:t>
      </w:r>
      <w:r>
        <w:t xml:space="preserve"> or no discernable effects are reasonably expected to occur</w:t>
      </w:r>
      <w:r w:rsidRPr="008B4300">
        <w:t>.</w:t>
      </w:r>
      <w:r w:rsidRPr="000C2F82">
        <w:t xml:space="preserve"> </w:t>
      </w:r>
      <w:bookmarkStart w:id="3" w:name="_Hlk57015010"/>
      <w:r>
        <w:t xml:space="preserve">Many of the </w:t>
      </w:r>
      <w:r w:rsidRPr="000C6A3E">
        <w:t xml:space="preserve">NE determinations </w:t>
      </w:r>
      <w:r>
        <w:t>we</w:t>
      </w:r>
      <w:r w:rsidRPr="000C6A3E">
        <w:t>re made</w:t>
      </w:r>
      <w:r>
        <w:t xml:space="preserve"> for species that only inhabit areas outside of ConUS (</w:t>
      </w:r>
      <w:r w:rsidRPr="000D7D0E">
        <w:rPr>
          <w:i/>
          <w:iCs/>
        </w:rPr>
        <w:t>e.g.</w:t>
      </w:r>
      <w:r>
        <w:t xml:space="preserve">, Hawaii). These NE determinations were based on the exclusion of </w:t>
      </w:r>
      <w:r w:rsidRPr="000C6A3E">
        <w:t xml:space="preserve">states and US territories outside of the </w:t>
      </w:r>
      <w:r>
        <w:t>ConUS based on commitment letters provided by the technical registrants (</w:t>
      </w:r>
      <w:r w:rsidRPr="000C2F82">
        <w:rPr>
          <w:b/>
          <w:bCs/>
        </w:rPr>
        <w:t>APPENDIX 1-</w:t>
      </w:r>
      <w:r>
        <w:rPr>
          <w:b/>
          <w:bCs/>
        </w:rPr>
        <w:t>2</w:t>
      </w:r>
      <w:r>
        <w:t>)</w:t>
      </w:r>
      <w:r w:rsidRPr="000C6A3E">
        <w:t>.</w:t>
      </w:r>
      <w:r>
        <w:t xml:space="preserve"> EPA made MA determinations for </w:t>
      </w:r>
      <w:r w:rsidR="000D476C" w:rsidRPr="000C2F82">
        <w:t>11</w:t>
      </w:r>
      <w:r w:rsidR="000D476C">
        <w:t>15</w:t>
      </w:r>
      <w:r w:rsidR="000D476C" w:rsidRPr="000C2F82">
        <w:rPr>
          <w:sz w:val="20"/>
          <w:szCs w:val="20"/>
        </w:rPr>
        <w:t xml:space="preserve"> </w:t>
      </w:r>
      <w:r w:rsidR="000D476C" w:rsidRPr="000C2F82">
        <w:t>species and 3</w:t>
      </w:r>
      <w:r w:rsidR="000D476C">
        <w:t>68</w:t>
      </w:r>
      <w:r w:rsidRPr="006B648C">
        <w:t xml:space="preserve"> critical habitats</w:t>
      </w:r>
      <w:r>
        <w:t>. As explained above, a</w:t>
      </w:r>
      <w:r w:rsidRPr="14F7C6B6">
        <w:rPr>
          <w:rFonts w:ascii="Calibri" w:eastAsia="Calibri" w:hAnsi="Calibri" w:cs="Calibri"/>
          <w:color w:val="000000" w:themeColor="text1"/>
        </w:rPr>
        <w:t>ll species and critical habitats with a MA determination progressed to the Step 2 analysis where an NLAA or LAA determination is made</w:t>
      </w:r>
      <w:r>
        <w:rPr>
          <w:rStyle w:val="FootnoteReference"/>
          <w:rFonts w:ascii="Calibri" w:eastAsia="Calibri" w:hAnsi="Calibri" w:cs="Calibri"/>
          <w:color w:val="000000" w:themeColor="text1"/>
        </w:rPr>
        <w:footnoteReference w:id="6"/>
      </w:r>
      <w:r>
        <w:rPr>
          <w:rFonts w:ascii="Calibri" w:eastAsia="Calibri" w:hAnsi="Calibri" w:cs="Calibri"/>
          <w:color w:val="000000" w:themeColor="text1"/>
        </w:rPr>
        <w:t>.</w:t>
      </w:r>
      <w:r w:rsidRPr="00A20A15">
        <w:rPr>
          <w:rFonts w:eastAsia="Times New Roman"/>
        </w:rPr>
        <w:t xml:space="preserve"> </w:t>
      </w:r>
      <w:r>
        <w:rPr>
          <w:rFonts w:eastAsia="Times New Roman"/>
        </w:rPr>
        <w:t xml:space="preserve">In Step 2, EPA made </w:t>
      </w:r>
      <w:r w:rsidRPr="00A20A15">
        <w:rPr>
          <w:rFonts w:eastAsia="Times New Roman"/>
        </w:rPr>
        <w:t xml:space="preserve">NLAA determinations for </w:t>
      </w:r>
      <w:r w:rsidR="000D476C">
        <w:rPr>
          <w:rFonts w:eastAsia="Calibri" w:cs="Calibri"/>
        </w:rPr>
        <w:t>122</w:t>
      </w:r>
      <w:r w:rsidR="000D476C" w:rsidRPr="00CB56A0">
        <w:rPr>
          <w:rFonts w:eastAsia="Calibri" w:cs="Calibri"/>
        </w:rPr>
        <w:t xml:space="preserve"> species and </w:t>
      </w:r>
      <w:r w:rsidR="000D476C">
        <w:rPr>
          <w:rFonts w:eastAsia="Calibri" w:cs="Calibri"/>
        </w:rPr>
        <w:t>52</w:t>
      </w:r>
      <w:r w:rsidRPr="00A20A15">
        <w:rPr>
          <w:rFonts w:eastAsia="Times New Roman"/>
        </w:rPr>
        <w:t xml:space="preserve"> critical habitat</w:t>
      </w:r>
      <w:r>
        <w:rPr>
          <w:rFonts w:eastAsia="Times New Roman"/>
        </w:rPr>
        <w:t>s.</w:t>
      </w:r>
      <w:r w:rsidRPr="00A20A15">
        <w:rPr>
          <w:rFonts w:eastAsia="Times New Roman"/>
        </w:rPr>
        <w:t xml:space="preserve"> </w:t>
      </w:r>
      <w:r>
        <w:rPr>
          <w:rFonts w:eastAsia="Times New Roman"/>
        </w:rPr>
        <w:t>EPA made</w:t>
      </w:r>
      <w:r w:rsidRPr="00A20A15">
        <w:rPr>
          <w:rFonts w:eastAsia="Times New Roman"/>
        </w:rPr>
        <w:t xml:space="preserve"> LAA determinations for </w:t>
      </w:r>
      <w:r w:rsidR="000D476C" w:rsidRPr="000C2F82">
        <w:t>9</w:t>
      </w:r>
      <w:r w:rsidR="000D476C">
        <w:t>93</w:t>
      </w:r>
      <w:r w:rsidR="000D476C" w:rsidRPr="000C2F82">
        <w:t xml:space="preserve"> species and 31</w:t>
      </w:r>
      <w:r w:rsidR="000D476C">
        <w:t>6</w:t>
      </w:r>
      <w:r w:rsidRPr="00A20A15">
        <w:rPr>
          <w:rFonts w:eastAsia="Times New Roman"/>
        </w:rPr>
        <w:t xml:space="preserve"> critical habitats</w:t>
      </w:r>
      <w:r w:rsidRPr="00A20A15">
        <w:rPr>
          <w:rFonts w:eastAsia="Calibri" w:cs="Calibri"/>
        </w:rPr>
        <w:t xml:space="preserve">. </w:t>
      </w:r>
      <w:bookmarkEnd w:id="3"/>
      <w:r w:rsidRPr="000C2F82">
        <w:t xml:space="preserve">Specific species determinations are provided in </w:t>
      </w:r>
      <w:r w:rsidRPr="000C2F82">
        <w:rPr>
          <w:b/>
          <w:bCs/>
        </w:rPr>
        <w:t>APPENDIX 4-1.</w:t>
      </w:r>
    </w:p>
    <w:p w14:paraId="05EC7841" w14:textId="77777777" w:rsidR="00D205F1" w:rsidRDefault="00D205F1" w:rsidP="00D205F1"/>
    <w:p w14:paraId="5BCE0D49" w14:textId="77777777" w:rsidR="00D205F1" w:rsidRPr="008A10CB" w:rsidRDefault="00D205F1" w:rsidP="00D205F1">
      <w:r w:rsidRPr="008A10CB">
        <w:t xml:space="preserve">For each LAA determination, </w:t>
      </w:r>
      <w:r>
        <w:t xml:space="preserve">EPA also grouped these determinations into three categories </w:t>
      </w:r>
      <w:r w:rsidRPr="008A10CB">
        <w:t>(</w:t>
      </w:r>
      <w:r w:rsidRPr="008A10CB">
        <w:rPr>
          <w:i/>
        </w:rPr>
        <w:t>i.e.,</w:t>
      </w:r>
      <w:r w:rsidRPr="008A10CB">
        <w:t xml:space="preserve"> strongest, </w:t>
      </w:r>
      <w:proofErr w:type="gramStart"/>
      <w:r w:rsidRPr="008A10CB">
        <w:t>moderate</w:t>
      </w:r>
      <w:proofErr w:type="gramEnd"/>
      <w:r w:rsidRPr="008A10CB">
        <w:t xml:space="preserve"> and weakest) </w:t>
      </w:r>
      <w:r>
        <w:t>which</w:t>
      </w:r>
      <w:r w:rsidRPr="008A10CB">
        <w:t xml:space="preserve">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t>
      </w:r>
      <w:r>
        <w:t>whether impacts could occur due to direct toxicity to the species or to both direct toxicity and to its prey, pollination, habitat, and dispersal (PPHD)</w:t>
      </w:r>
      <w:r w:rsidRPr="008A10CB">
        <w:t xml:space="preserve">, the presence of reported incidents involving the species taxa or PPHD taxa, the presence of monitoring data that exceeds endpoints, </w:t>
      </w:r>
      <w:r>
        <w:t>whether species’ habitats are potential use sites or if they could only be exposed  from spray drift, and the likelihood of drift into a species habitat (</w:t>
      </w:r>
      <w:r w:rsidRPr="00BB5BE9">
        <w:rPr>
          <w:i/>
          <w:iCs/>
        </w:rPr>
        <w:t>e.g</w:t>
      </w:r>
      <w:r>
        <w:t>., if the species inhabits forests).</w:t>
      </w:r>
      <w:r w:rsidRPr="008A10CB">
        <w:t xml:space="preserve"> </w:t>
      </w:r>
    </w:p>
    <w:p w14:paraId="0AE081CA" w14:textId="77777777" w:rsidR="00D205F1" w:rsidRDefault="00D205F1" w:rsidP="00D205F1">
      <w:r w:rsidRPr="00FD644E">
        <w:t xml:space="preserve"> </w:t>
      </w:r>
    </w:p>
    <w:p w14:paraId="61DFD4CF" w14:textId="13DCCEF0" w:rsidR="00D205F1" w:rsidRDefault="000D476C" w:rsidP="00D205F1">
      <w:r w:rsidRPr="000C2F82">
        <w:t xml:space="preserve">Of the LAA determinations, </w:t>
      </w:r>
      <w:r>
        <w:t>the majority (</w:t>
      </w:r>
      <w:r w:rsidRPr="000C2F82">
        <w:t>8</w:t>
      </w:r>
      <w:r>
        <w:t>0</w:t>
      </w:r>
      <w:r w:rsidRPr="000C2F82">
        <w:t xml:space="preserve">% </w:t>
      </w:r>
      <w:r>
        <w:t>of species and 74% of critical habitats)</w:t>
      </w:r>
      <w:r w:rsidRPr="000C2F82">
        <w:t xml:space="preserve"> were considered to have moderate evidence</w:t>
      </w:r>
      <w:r>
        <w:t>. Strongest evidence was found for 9% of species and 14% of critical habitat LAA determinations.</w:t>
      </w:r>
      <w:r w:rsidRPr="000C2F82">
        <w:t xml:space="preserve"> </w:t>
      </w:r>
      <w:r>
        <w:t>Weakest evidence was found for</w:t>
      </w:r>
      <w:r w:rsidRPr="000C2F82">
        <w:t xml:space="preserve"> </w:t>
      </w:r>
      <w:r>
        <w:t>10</w:t>
      </w:r>
      <w:r w:rsidRPr="000C2F82">
        <w:t xml:space="preserve">% </w:t>
      </w:r>
      <w:r>
        <w:t>of species and 12% of critical habitat LAA determinations.</w:t>
      </w:r>
      <w:r w:rsidRPr="000C2F82">
        <w:t xml:space="preserve"> Developed, Open Space Developed and Corn UDLs, were the use sites most frequently associated with impacts to species or critical habitats with LAA determinations.</w:t>
      </w:r>
      <w:r>
        <w:t xml:space="preserve"> </w:t>
      </w:r>
      <w:r w:rsidRPr="000C2F82">
        <w:t xml:space="preserve">LAA determinations </w:t>
      </w:r>
      <w:r w:rsidRPr="000C2F82">
        <w:lastRenderedPageBreak/>
        <w:t>were made for species across all taxa.</w:t>
      </w:r>
      <w:r>
        <w:t xml:space="preserve"> </w:t>
      </w:r>
      <w:r w:rsidR="00D205F1">
        <w:t xml:space="preserve">For certain species, there were uncertainties in the </w:t>
      </w:r>
      <w:r>
        <w:t>sima</w:t>
      </w:r>
      <w:r w:rsidR="00D205F1">
        <w:t xml:space="preserve">zine effects determinations based on the resolution of spatial data. For species and critical habitats, there were uncertainties in the </w:t>
      </w:r>
      <w:r w:rsidR="00D205F1" w:rsidRPr="00690822">
        <w:t xml:space="preserve">resolution of spatial data, </w:t>
      </w:r>
      <w:r w:rsidR="00D205F1">
        <w:t xml:space="preserve">resolution of usage data and the threshold for assessing impacts on PPHD (detailed in </w:t>
      </w:r>
      <w:r w:rsidR="00D205F1" w:rsidRPr="446212B1">
        <w:rPr>
          <w:b/>
          <w:bCs/>
        </w:rPr>
        <w:t>Chapter 4</w:t>
      </w:r>
      <w:r w:rsidR="00D205F1">
        <w:t>).</w:t>
      </w:r>
      <w:r w:rsidR="00D205F1" w:rsidRPr="446212B1">
        <w:rPr>
          <w:i/>
          <w:iCs/>
        </w:rPr>
        <w:t xml:space="preserve"> </w:t>
      </w:r>
      <w:r w:rsidR="00D205F1" w:rsidRPr="008506C0">
        <w:rPr>
          <w:b/>
          <w:bCs/>
        </w:rPr>
        <w:fldChar w:fldCharType="begin"/>
      </w:r>
      <w:r w:rsidR="00D205F1" w:rsidRPr="008506C0">
        <w:instrText xml:space="preserve"> REF _Ref80263574 \h </w:instrText>
      </w:r>
      <w:r w:rsidR="00D205F1" w:rsidRPr="008506C0">
        <w:rPr>
          <w:b/>
          <w:bCs/>
        </w:rPr>
        <w:instrText xml:space="preserve"> \* MERGEFORMAT </w:instrText>
      </w:r>
      <w:r w:rsidR="00D205F1" w:rsidRPr="008506C0">
        <w:rPr>
          <w:b/>
          <w:bCs/>
        </w:rPr>
      </w:r>
      <w:r w:rsidR="00D205F1" w:rsidRPr="008506C0">
        <w:rPr>
          <w:b/>
          <w:bCs/>
        </w:rPr>
        <w:fldChar w:fldCharType="separate"/>
      </w:r>
      <w:r w:rsidR="00D205F1" w:rsidRPr="008506C0">
        <w:rPr>
          <w:b/>
          <w:bCs/>
          <w:color w:val="000000" w:themeColor="text1"/>
        </w:rPr>
        <w:t xml:space="preserve">Table </w:t>
      </w:r>
      <w:r w:rsidR="00D205F1" w:rsidRPr="008506C0">
        <w:rPr>
          <w:b/>
          <w:bCs/>
          <w:noProof/>
          <w:color w:val="000000" w:themeColor="text1"/>
        </w:rPr>
        <w:t>1</w:t>
      </w:r>
      <w:r w:rsidR="00D205F1" w:rsidRPr="008506C0">
        <w:rPr>
          <w:b/>
          <w:bCs/>
        </w:rPr>
        <w:fldChar w:fldCharType="end"/>
      </w:r>
      <w:r w:rsidR="00D205F1">
        <w:rPr>
          <w:b/>
          <w:bCs/>
        </w:rPr>
        <w:t xml:space="preserve"> </w:t>
      </w:r>
      <w:r w:rsidR="00D205F1" w:rsidRPr="008506C0">
        <w:t>and</w:t>
      </w:r>
      <w:r w:rsidR="00D205F1">
        <w:rPr>
          <w:b/>
          <w:bCs/>
        </w:rPr>
        <w:t xml:space="preserve"> </w:t>
      </w:r>
      <w:r w:rsidR="00D205F1" w:rsidRPr="008506C0">
        <w:rPr>
          <w:b/>
          <w:bCs/>
        </w:rPr>
        <w:fldChar w:fldCharType="begin"/>
      </w:r>
      <w:r w:rsidR="00D205F1" w:rsidRPr="008506C0">
        <w:rPr>
          <w:b/>
          <w:bCs/>
        </w:rPr>
        <w:instrText xml:space="preserve"> REF _Ref80263576 \h  \* MERGEFORMAT </w:instrText>
      </w:r>
      <w:r w:rsidR="00D205F1" w:rsidRPr="008506C0">
        <w:rPr>
          <w:b/>
          <w:bCs/>
        </w:rPr>
      </w:r>
      <w:r w:rsidR="00D205F1" w:rsidRPr="008506C0">
        <w:rPr>
          <w:b/>
          <w:bCs/>
        </w:rPr>
        <w:fldChar w:fldCharType="separate"/>
      </w:r>
      <w:r w:rsidR="00D205F1" w:rsidRPr="008506C0">
        <w:rPr>
          <w:b/>
          <w:bCs/>
          <w:color w:val="000000" w:themeColor="text1"/>
        </w:rPr>
        <w:t xml:space="preserve">Table </w:t>
      </w:r>
      <w:r w:rsidR="00D205F1" w:rsidRPr="008506C0">
        <w:rPr>
          <w:b/>
          <w:bCs/>
          <w:noProof/>
          <w:color w:val="000000" w:themeColor="text1"/>
        </w:rPr>
        <w:t>2</w:t>
      </w:r>
      <w:r w:rsidR="00D205F1" w:rsidRPr="008506C0">
        <w:rPr>
          <w:b/>
          <w:bCs/>
        </w:rPr>
        <w:fldChar w:fldCharType="end"/>
      </w:r>
      <w:r w:rsidR="00D205F1" w:rsidRPr="00BB517C">
        <w:rPr>
          <w:b/>
          <w:bCs/>
        </w:rPr>
        <w:t xml:space="preserve"> </w:t>
      </w:r>
      <w:r w:rsidR="00D205F1" w:rsidRPr="00AD0553">
        <w:t xml:space="preserve">summarize the NE, NLAA and LAA determinations for species and critical habitats. </w:t>
      </w:r>
      <w:r w:rsidR="00D205F1" w:rsidRPr="008506C0">
        <w:rPr>
          <w:b/>
          <w:bCs/>
        </w:rPr>
        <w:fldChar w:fldCharType="begin"/>
      </w:r>
      <w:r w:rsidR="00D205F1" w:rsidRPr="008506C0">
        <w:instrText xml:space="preserve"> REF _Ref80263607 \h </w:instrText>
      </w:r>
      <w:r w:rsidR="00D205F1" w:rsidRPr="008506C0">
        <w:rPr>
          <w:b/>
          <w:bCs/>
        </w:rPr>
        <w:instrText xml:space="preserve"> \* MERGEFORMAT </w:instrText>
      </w:r>
      <w:r w:rsidR="00D205F1" w:rsidRPr="008506C0">
        <w:rPr>
          <w:b/>
          <w:bCs/>
        </w:rPr>
      </w:r>
      <w:r w:rsidR="00D205F1" w:rsidRPr="008506C0">
        <w:rPr>
          <w:b/>
          <w:bCs/>
        </w:rPr>
        <w:fldChar w:fldCharType="separate"/>
      </w:r>
      <w:r w:rsidR="00D205F1" w:rsidRPr="008506C0">
        <w:rPr>
          <w:b/>
          <w:bCs/>
          <w:color w:val="000000" w:themeColor="text1"/>
        </w:rPr>
        <w:t xml:space="preserve">Table </w:t>
      </w:r>
      <w:r w:rsidR="00D205F1" w:rsidRPr="008506C0">
        <w:rPr>
          <w:b/>
          <w:bCs/>
          <w:noProof/>
          <w:color w:val="000000" w:themeColor="text1"/>
        </w:rPr>
        <w:t>3</w:t>
      </w:r>
      <w:r w:rsidR="00D205F1" w:rsidRPr="008506C0">
        <w:rPr>
          <w:b/>
          <w:bCs/>
        </w:rPr>
        <w:fldChar w:fldCharType="end"/>
      </w:r>
      <w:r w:rsidR="00D205F1">
        <w:rPr>
          <w:b/>
          <w:bCs/>
        </w:rPr>
        <w:t xml:space="preserve"> </w:t>
      </w:r>
      <w:r w:rsidR="00D205F1">
        <w:t>summarizes the strength of evidence classifications for the LAA determinations.</w:t>
      </w:r>
    </w:p>
    <w:p w14:paraId="39513DE7" w14:textId="77777777" w:rsidR="00D205F1" w:rsidRDefault="00D205F1" w:rsidP="005D27F2">
      <w:pPr>
        <w:spacing w:after="160"/>
      </w:pPr>
    </w:p>
    <w:p w14:paraId="7182A354" w14:textId="6FAFEA31" w:rsidR="00B408AC" w:rsidRPr="000903AD" w:rsidRDefault="00B408AC" w:rsidP="00B408AC">
      <w:pPr>
        <w:keepNext/>
        <w:rPr>
          <w:b/>
        </w:rPr>
      </w:pPr>
      <w:r w:rsidRPr="000903AD">
        <w:rPr>
          <w:b/>
        </w:rPr>
        <w:t>T</w:t>
      </w:r>
      <w:r>
        <w:rPr>
          <w:b/>
        </w:rPr>
        <w:t>able</w:t>
      </w:r>
      <w:r w:rsidRPr="000903AD">
        <w:rPr>
          <w:b/>
        </w:rPr>
        <w:t xml:space="preserve"> </w:t>
      </w:r>
      <w:r>
        <w:rPr>
          <w:b/>
        </w:rPr>
        <w:t>1</w:t>
      </w:r>
      <w:r w:rsidRPr="000903AD">
        <w:rPr>
          <w:b/>
        </w:rPr>
        <w:t xml:space="preserve">. Summary of Species Effects Determinations for </w:t>
      </w:r>
      <w:r>
        <w:rPr>
          <w:b/>
        </w:rPr>
        <w:t>Simazine</w:t>
      </w:r>
      <w:r w:rsidRPr="000903A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0"/>
        <w:gridCol w:w="1170"/>
        <w:gridCol w:w="1980"/>
        <w:gridCol w:w="1799"/>
        <w:gridCol w:w="744"/>
      </w:tblGrid>
      <w:tr w:rsidR="00B408AC" w:rsidRPr="000F3FE0" w14:paraId="1BEB081C" w14:textId="77777777" w:rsidTr="00296F73">
        <w:trPr>
          <w:trHeight w:val="288"/>
        </w:trPr>
        <w:tc>
          <w:tcPr>
            <w:tcW w:w="2245" w:type="dxa"/>
            <w:vMerge w:val="restart"/>
            <w:shd w:val="clear" w:color="auto" w:fill="D9D9D9" w:themeFill="background1" w:themeFillShade="D9"/>
            <w:noWrap/>
            <w:vAlign w:val="center"/>
            <w:hideMark/>
          </w:tcPr>
          <w:p w14:paraId="3BC0C46D" w14:textId="77777777" w:rsidR="00B408AC" w:rsidRPr="000F3FE0" w:rsidRDefault="00B408AC" w:rsidP="00EB21F7">
            <w:pPr>
              <w:keepNext/>
              <w:jc w:val="center"/>
              <w:rPr>
                <w:rFonts w:cstheme="minorHAnsi"/>
                <w:b/>
                <w:sz w:val="20"/>
                <w:szCs w:val="20"/>
              </w:rPr>
            </w:pPr>
            <w:r w:rsidRPr="000F3FE0">
              <w:rPr>
                <w:rFonts w:cstheme="minorHAnsi"/>
                <w:b/>
                <w:sz w:val="20"/>
                <w:szCs w:val="20"/>
              </w:rPr>
              <w:t>Taxon</w:t>
            </w:r>
          </w:p>
        </w:tc>
        <w:tc>
          <w:tcPr>
            <w:tcW w:w="2160" w:type="dxa"/>
            <w:gridSpan w:val="2"/>
            <w:shd w:val="clear" w:color="auto" w:fill="D9D9D9" w:themeFill="background1" w:themeFillShade="D9"/>
            <w:vAlign w:val="center"/>
            <w:hideMark/>
          </w:tcPr>
          <w:p w14:paraId="6D3C6DA0" w14:textId="77777777" w:rsidR="00B408AC" w:rsidRPr="000F3FE0" w:rsidRDefault="00B408AC" w:rsidP="00EB21F7">
            <w:pPr>
              <w:keepNext/>
              <w:jc w:val="center"/>
              <w:rPr>
                <w:rFonts w:cstheme="minorHAnsi"/>
                <w:b/>
                <w:sz w:val="20"/>
                <w:szCs w:val="20"/>
              </w:rPr>
            </w:pPr>
            <w:r w:rsidRPr="000F3FE0">
              <w:rPr>
                <w:rFonts w:cstheme="minorHAnsi"/>
                <w:b/>
                <w:sz w:val="20"/>
                <w:szCs w:val="20"/>
              </w:rPr>
              <w:t>Step 1 Effects Determinations</w:t>
            </w:r>
          </w:p>
        </w:tc>
        <w:tc>
          <w:tcPr>
            <w:tcW w:w="3779" w:type="dxa"/>
            <w:gridSpan w:val="2"/>
            <w:shd w:val="clear" w:color="auto" w:fill="D9D9D9" w:themeFill="background1" w:themeFillShade="D9"/>
            <w:noWrap/>
            <w:vAlign w:val="center"/>
            <w:hideMark/>
          </w:tcPr>
          <w:p w14:paraId="42467FC5" w14:textId="77777777" w:rsidR="00B408AC" w:rsidRPr="000F3FE0" w:rsidRDefault="00B408AC" w:rsidP="00EB21F7">
            <w:pPr>
              <w:keepNext/>
              <w:jc w:val="center"/>
              <w:rPr>
                <w:rFonts w:cstheme="minorHAnsi"/>
                <w:b/>
                <w:sz w:val="20"/>
                <w:szCs w:val="20"/>
              </w:rPr>
            </w:pPr>
            <w:r w:rsidRPr="000F3FE0">
              <w:rPr>
                <w:rFonts w:cstheme="minorHAnsi"/>
                <w:b/>
                <w:sz w:val="20"/>
                <w:szCs w:val="20"/>
              </w:rPr>
              <w:t>Step 2 Effects Determinations</w:t>
            </w:r>
          </w:p>
        </w:tc>
        <w:tc>
          <w:tcPr>
            <w:tcW w:w="744" w:type="dxa"/>
            <w:vMerge w:val="restart"/>
            <w:shd w:val="clear" w:color="auto" w:fill="D9D9D9" w:themeFill="background1" w:themeFillShade="D9"/>
            <w:noWrap/>
            <w:vAlign w:val="center"/>
            <w:hideMark/>
          </w:tcPr>
          <w:p w14:paraId="25A09118" w14:textId="77777777" w:rsidR="00B408AC" w:rsidRPr="000F3FE0" w:rsidRDefault="00B408AC" w:rsidP="00EB21F7">
            <w:pPr>
              <w:keepNext/>
              <w:jc w:val="center"/>
              <w:rPr>
                <w:rFonts w:cstheme="minorHAnsi"/>
                <w:b/>
                <w:sz w:val="20"/>
                <w:szCs w:val="20"/>
              </w:rPr>
            </w:pPr>
            <w:r w:rsidRPr="000F3FE0">
              <w:rPr>
                <w:rFonts w:cstheme="minorHAnsi"/>
                <w:b/>
                <w:sz w:val="20"/>
                <w:szCs w:val="20"/>
              </w:rPr>
              <w:t>Totals</w:t>
            </w:r>
          </w:p>
        </w:tc>
      </w:tr>
      <w:tr w:rsidR="00B408AC" w:rsidRPr="000F3FE0" w14:paraId="1B4C7835" w14:textId="77777777" w:rsidTr="00296F73">
        <w:trPr>
          <w:trHeight w:val="288"/>
        </w:trPr>
        <w:tc>
          <w:tcPr>
            <w:tcW w:w="2245" w:type="dxa"/>
            <w:vMerge/>
            <w:vAlign w:val="center"/>
            <w:hideMark/>
          </w:tcPr>
          <w:p w14:paraId="22A2CB1A" w14:textId="77777777" w:rsidR="00B408AC" w:rsidRPr="000F3FE0" w:rsidRDefault="00B408AC" w:rsidP="00EB21F7">
            <w:pPr>
              <w:keepNext/>
              <w:rPr>
                <w:rFonts w:cstheme="minorHAnsi"/>
                <w:b/>
                <w:sz w:val="20"/>
                <w:szCs w:val="20"/>
              </w:rPr>
            </w:pPr>
          </w:p>
        </w:tc>
        <w:tc>
          <w:tcPr>
            <w:tcW w:w="990" w:type="dxa"/>
            <w:shd w:val="clear" w:color="auto" w:fill="D9D9D9" w:themeFill="background1" w:themeFillShade="D9"/>
            <w:vAlign w:val="center"/>
            <w:hideMark/>
          </w:tcPr>
          <w:p w14:paraId="5A566F5F" w14:textId="77777777" w:rsidR="00B408AC" w:rsidRPr="000F3FE0" w:rsidRDefault="00B408AC" w:rsidP="00EB21F7">
            <w:pPr>
              <w:keepNext/>
              <w:jc w:val="center"/>
              <w:rPr>
                <w:rFonts w:cstheme="minorHAnsi"/>
                <w:b/>
                <w:sz w:val="20"/>
                <w:szCs w:val="20"/>
              </w:rPr>
            </w:pPr>
            <w:r w:rsidRPr="000F3FE0">
              <w:rPr>
                <w:rFonts w:cstheme="minorHAnsi"/>
                <w:b/>
                <w:sz w:val="20"/>
                <w:szCs w:val="20"/>
              </w:rPr>
              <w:t>No Effect</w:t>
            </w:r>
          </w:p>
        </w:tc>
        <w:tc>
          <w:tcPr>
            <w:tcW w:w="1170" w:type="dxa"/>
            <w:shd w:val="clear" w:color="auto" w:fill="D9D9D9" w:themeFill="background1" w:themeFillShade="D9"/>
            <w:vAlign w:val="center"/>
            <w:hideMark/>
          </w:tcPr>
          <w:p w14:paraId="40FB81ED" w14:textId="77777777" w:rsidR="00B408AC" w:rsidRPr="000F3FE0" w:rsidRDefault="00B408AC" w:rsidP="00EB21F7">
            <w:pPr>
              <w:keepNext/>
              <w:jc w:val="center"/>
              <w:rPr>
                <w:rFonts w:cstheme="minorHAnsi"/>
                <w:b/>
                <w:sz w:val="20"/>
                <w:szCs w:val="20"/>
              </w:rPr>
            </w:pPr>
            <w:r w:rsidRPr="000F3FE0">
              <w:rPr>
                <w:rFonts w:cstheme="minorHAnsi"/>
                <w:b/>
                <w:sz w:val="20"/>
                <w:szCs w:val="20"/>
              </w:rPr>
              <w:t>May Affect</w:t>
            </w:r>
          </w:p>
        </w:tc>
        <w:tc>
          <w:tcPr>
            <w:tcW w:w="1980" w:type="dxa"/>
            <w:shd w:val="clear" w:color="auto" w:fill="D9D9D9" w:themeFill="background1" w:themeFillShade="D9"/>
            <w:noWrap/>
            <w:vAlign w:val="center"/>
            <w:hideMark/>
          </w:tcPr>
          <w:p w14:paraId="0BB448F4" w14:textId="77777777" w:rsidR="00B408AC" w:rsidRPr="000F3FE0" w:rsidRDefault="00B408AC" w:rsidP="00EB21F7">
            <w:pPr>
              <w:keepNext/>
              <w:jc w:val="center"/>
              <w:rPr>
                <w:rFonts w:cstheme="minorHAnsi"/>
                <w:b/>
                <w:sz w:val="20"/>
                <w:szCs w:val="20"/>
              </w:rPr>
            </w:pPr>
            <w:r w:rsidRPr="000F3FE0">
              <w:rPr>
                <w:rFonts w:cstheme="minorHAnsi"/>
                <w:b/>
                <w:sz w:val="20"/>
                <w:szCs w:val="20"/>
              </w:rPr>
              <w:t>Not Likely to Adversely Affect</w:t>
            </w:r>
          </w:p>
        </w:tc>
        <w:tc>
          <w:tcPr>
            <w:tcW w:w="1799" w:type="dxa"/>
            <w:shd w:val="clear" w:color="auto" w:fill="D9D9D9" w:themeFill="background1" w:themeFillShade="D9"/>
            <w:noWrap/>
            <w:vAlign w:val="center"/>
            <w:hideMark/>
          </w:tcPr>
          <w:p w14:paraId="1E5F62AE" w14:textId="77777777" w:rsidR="00B408AC" w:rsidRPr="000F3FE0" w:rsidRDefault="00B408AC" w:rsidP="00EB21F7">
            <w:pPr>
              <w:keepNext/>
              <w:jc w:val="center"/>
              <w:rPr>
                <w:rFonts w:cstheme="minorHAnsi"/>
                <w:b/>
                <w:sz w:val="20"/>
                <w:szCs w:val="20"/>
              </w:rPr>
            </w:pPr>
            <w:r w:rsidRPr="000F3FE0">
              <w:rPr>
                <w:rFonts w:cstheme="minorHAnsi"/>
                <w:b/>
                <w:sz w:val="20"/>
                <w:szCs w:val="20"/>
              </w:rPr>
              <w:t>Likely to Adversely Affect</w:t>
            </w:r>
          </w:p>
        </w:tc>
        <w:tc>
          <w:tcPr>
            <w:tcW w:w="744" w:type="dxa"/>
            <w:vMerge/>
            <w:shd w:val="clear" w:color="auto" w:fill="D9D9D9" w:themeFill="background1" w:themeFillShade="D9"/>
            <w:vAlign w:val="center"/>
            <w:hideMark/>
          </w:tcPr>
          <w:p w14:paraId="4C595CDD" w14:textId="77777777" w:rsidR="00B408AC" w:rsidRPr="000F3FE0" w:rsidRDefault="00B408AC" w:rsidP="00EB21F7">
            <w:pPr>
              <w:keepNext/>
              <w:rPr>
                <w:rFonts w:cstheme="minorHAnsi"/>
                <w:b/>
                <w:sz w:val="20"/>
                <w:szCs w:val="20"/>
              </w:rPr>
            </w:pPr>
          </w:p>
        </w:tc>
      </w:tr>
      <w:tr w:rsidR="001D516E" w:rsidRPr="000F3FE0" w14:paraId="6E834B6C"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5FAC4EA3" w14:textId="5D186738" w:rsidR="001D516E" w:rsidRPr="000F3FE0" w:rsidRDefault="001D516E" w:rsidP="001D516E">
            <w:pPr>
              <w:keepNext/>
              <w:rPr>
                <w:rFonts w:cstheme="minorHAnsi"/>
                <w:sz w:val="20"/>
                <w:szCs w:val="20"/>
              </w:rPr>
            </w:pPr>
            <w:r w:rsidRPr="005F4476">
              <w:rPr>
                <w:rFonts w:ascii="Calibri" w:hAnsi="Calibri" w:cs="Calibri"/>
                <w:color w:val="000000"/>
                <w:sz w:val="20"/>
                <w:szCs w:val="20"/>
              </w:rPr>
              <w:t>Mammals</w:t>
            </w:r>
          </w:p>
        </w:tc>
        <w:tc>
          <w:tcPr>
            <w:tcW w:w="990" w:type="dxa"/>
            <w:tcBorders>
              <w:top w:val="nil"/>
              <w:left w:val="nil"/>
              <w:bottom w:val="single" w:sz="8" w:space="0" w:color="auto"/>
              <w:right w:val="single" w:sz="8" w:space="0" w:color="auto"/>
            </w:tcBorders>
            <w:shd w:val="clear" w:color="auto" w:fill="auto"/>
            <w:vAlign w:val="center"/>
            <w:hideMark/>
          </w:tcPr>
          <w:p w14:paraId="7051A4B2" w14:textId="0E0543D2"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14</w:t>
            </w:r>
          </w:p>
        </w:tc>
        <w:tc>
          <w:tcPr>
            <w:tcW w:w="1170" w:type="dxa"/>
            <w:tcBorders>
              <w:top w:val="nil"/>
              <w:left w:val="nil"/>
              <w:bottom w:val="single" w:sz="8" w:space="0" w:color="auto"/>
              <w:right w:val="nil"/>
            </w:tcBorders>
            <w:shd w:val="clear" w:color="auto" w:fill="auto"/>
            <w:vAlign w:val="center"/>
          </w:tcPr>
          <w:p w14:paraId="07282692" w14:textId="68813E46"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85</w:t>
            </w:r>
          </w:p>
        </w:tc>
        <w:tc>
          <w:tcPr>
            <w:tcW w:w="1980" w:type="dxa"/>
            <w:tcBorders>
              <w:top w:val="nil"/>
              <w:left w:val="single" w:sz="8" w:space="0" w:color="auto"/>
              <w:bottom w:val="single" w:sz="8" w:space="0" w:color="auto"/>
              <w:right w:val="nil"/>
            </w:tcBorders>
            <w:shd w:val="clear" w:color="auto" w:fill="auto"/>
            <w:noWrap/>
            <w:vAlign w:val="center"/>
            <w:hideMark/>
          </w:tcPr>
          <w:p w14:paraId="2A5C63B7" w14:textId="2450EB04"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21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356A318F" w14:textId="00A4C07F"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64</w:t>
            </w:r>
          </w:p>
        </w:tc>
        <w:tc>
          <w:tcPr>
            <w:tcW w:w="744" w:type="dxa"/>
            <w:tcBorders>
              <w:top w:val="nil"/>
              <w:left w:val="nil"/>
              <w:bottom w:val="single" w:sz="8" w:space="0" w:color="auto"/>
              <w:right w:val="single" w:sz="8" w:space="0" w:color="auto"/>
            </w:tcBorders>
            <w:shd w:val="clear" w:color="auto" w:fill="auto"/>
            <w:noWrap/>
            <w:vAlign w:val="center"/>
          </w:tcPr>
          <w:p w14:paraId="45FBF8C4" w14:textId="0DB91106"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99</w:t>
            </w:r>
          </w:p>
        </w:tc>
      </w:tr>
      <w:tr w:rsidR="001D516E" w:rsidRPr="000F3FE0" w14:paraId="78E5DC46"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3DF14E5E" w14:textId="0AC78B49" w:rsidR="001D516E" w:rsidRPr="000F3FE0" w:rsidRDefault="001D516E" w:rsidP="001D516E">
            <w:pPr>
              <w:rPr>
                <w:rFonts w:cstheme="minorHAnsi"/>
                <w:sz w:val="20"/>
                <w:szCs w:val="20"/>
              </w:rPr>
            </w:pPr>
            <w:r w:rsidRPr="005F4476">
              <w:rPr>
                <w:rFonts w:ascii="Calibri" w:hAnsi="Calibri" w:cs="Calibri"/>
                <w:color w:val="000000"/>
                <w:sz w:val="20"/>
                <w:szCs w:val="20"/>
              </w:rPr>
              <w:t>Birds</w:t>
            </w:r>
          </w:p>
        </w:tc>
        <w:tc>
          <w:tcPr>
            <w:tcW w:w="990" w:type="dxa"/>
            <w:tcBorders>
              <w:top w:val="nil"/>
              <w:left w:val="nil"/>
              <w:bottom w:val="single" w:sz="8" w:space="0" w:color="auto"/>
              <w:right w:val="single" w:sz="8" w:space="0" w:color="auto"/>
            </w:tcBorders>
            <w:shd w:val="clear" w:color="auto" w:fill="auto"/>
            <w:vAlign w:val="center"/>
            <w:hideMark/>
          </w:tcPr>
          <w:p w14:paraId="6D5847C9" w14:textId="7129CF1C" w:rsidR="001D516E" w:rsidRPr="000F3FE0" w:rsidRDefault="001D516E" w:rsidP="001D516E">
            <w:pPr>
              <w:jc w:val="center"/>
              <w:rPr>
                <w:rFonts w:cstheme="minorHAnsi"/>
                <w:sz w:val="20"/>
                <w:szCs w:val="20"/>
              </w:rPr>
            </w:pPr>
            <w:r w:rsidRPr="005F4476">
              <w:rPr>
                <w:rFonts w:ascii="Calibri" w:hAnsi="Calibri" w:cs="Calibri"/>
                <w:color w:val="000000"/>
                <w:sz w:val="20"/>
                <w:szCs w:val="20"/>
              </w:rPr>
              <w:t>58</w:t>
            </w:r>
          </w:p>
        </w:tc>
        <w:tc>
          <w:tcPr>
            <w:tcW w:w="1170" w:type="dxa"/>
            <w:tcBorders>
              <w:top w:val="nil"/>
              <w:left w:val="nil"/>
              <w:bottom w:val="single" w:sz="8" w:space="0" w:color="auto"/>
              <w:right w:val="nil"/>
            </w:tcBorders>
            <w:shd w:val="clear" w:color="auto" w:fill="auto"/>
            <w:vAlign w:val="center"/>
          </w:tcPr>
          <w:p w14:paraId="6EC6C97A" w14:textId="24421EA9" w:rsidR="001D516E" w:rsidRPr="000F3FE0" w:rsidRDefault="001D516E" w:rsidP="001D516E">
            <w:pPr>
              <w:jc w:val="center"/>
              <w:rPr>
                <w:rFonts w:cstheme="minorHAnsi"/>
                <w:sz w:val="20"/>
                <w:szCs w:val="20"/>
              </w:rPr>
            </w:pPr>
            <w:r w:rsidRPr="005F4476">
              <w:rPr>
                <w:rFonts w:ascii="Calibri" w:hAnsi="Calibri" w:cs="Calibri"/>
                <w:color w:val="000000"/>
                <w:sz w:val="20"/>
                <w:szCs w:val="20"/>
              </w:rPr>
              <w:t>50</w:t>
            </w:r>
          </w:p>
        </w:tc>
        <w:tc>
          <w:tcPr>
            <w:tcW w:w="1980" w:type="dxa"/>
            <w:tcBorders>
              <w:top w:val="nil"/>
              <w:left w:val="single" w:sz="8" w:space="0" w:color="auto"/>
              <w:bottom w:val="single" w:sz="8" w:space="0" w:color="auto"/>
              <w:right w:val="nil"/>
            </w:tcBorders>
            <w:shd w:val="clear" w:color="auto" w:fill="auto"/>
            <w:noWrap/>
            <w:vAlign w:val="center"/>
            <w:hideMark/>
          </w:tcPr>
          <w:p w14:paraId="5B2C370B" w14:textId="477072FE"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4A488639" w14:textId="3640DCE1" w:rsidR="001D516E" w:rsidRPr="000F3FE0" w:rsidRDefault="001D516E" w:rsidP="001D516E">
            <w:pPr>
              <w:jc w:val="center"/>
              <w:rPr>
                <w:rFonts w:cstheme="minorHAnsi"/>
                <w:sz w:val="20"/>
                <w:szCs w:val="20"/>
              </w:rPr>
            </w:pPr>
            <w:r w:rsidRPr="005F4476">
              <w:rPr>
                <w:rFonts w:ascii="Calibri" w:hAnsi="Calibri" w:cs="Calibri"/>
                <w:color w:val="000000"/>
                <w:sz w:val="20"/>
                <w:szCs w:val="20"/>
              </w:rPr>
              <w:t>40</w:t>
            </w:r>
          </w:p>
        </w:tc>
        <w:tc>
          <w:tcPr>
            <w:tcW w:w="744" w:type="dxa"/>
            <w:tcBorders>
              <w:top w:val="nil"/>
              <w:left w:val="nil"/>
              <w:bottom w:val="single" w:sz="8" w:space="0" w:color="auto"/>
              <w:right w:val="single" w:sz="8" w:space="0" w:color="auto"/>
            </w:tcBorders>
            <w:shd w:val="clear" w:color="auto" w:fill="auto"/>
            <w:noWrap/>
            <w:vAlign w:val="center"/>
          </w:tcPr>
          <w:p w14:paraId="5B5221C1" w14:textId="01968357" w:rsidR="001D516E" w:rsidRPr="000F3FE0" w:rsidRDefault="001D516E" w:rsidP="001D516E">
            <w:pPr>
              <w:jc w:val="center"/>
              <w:rPr>
                <w:rFonts w:cstheme="minorHAnsi"/>
                <w:sz w:val="20"/>
                <w:szCs w:val="20"/>
              </w:rPr>
            </w:pPr>
            <w:r w:rsidRPr="005F4476">
              <w:rPr>
                <w:rFonts w:ascii="Calibri" w:hAnsi="Calibri" w:cs="Calibri"/>
                <w:color w:val="000000"/>
                <w:sz w:val="20"/>
                <w:szCs w:val="20"/>
              </w:rPr>
              <w:t>108</w:t>
            </w:r>
          </w:p>
        </w:tc>
      </w:tr>
      <w:tr w:rsidR="001D516E" w:rsidRPr="000F3FE0" w14:paraId="54A4C76E"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2540709A" w14:textId="6249E50E" w:rsidR="001D516E" w:rsidRPr="000F3FE0" w:rsidRDefault="001D516E" w:rsidP="001D516E">
            <w:pPr>
              <w:rPr>
                <w:rFonts w:cstheme="minorHAnsi"/>
                <w:sz w:val="20"/>
                <w:szCs w:val="20"/>
              </w:rPr>
            </w:pPr>
            <w:r w:rsidRPr="005F4476">
              <w:rPr>
                <w:rFonts w:ascii="Calibri" w:hAnsi="Calibri" w:cs="Calibri"/>
                <w:color w:val="000000"/>
                <w:sz w:val="20"/>
                <w:szCs w:val="20"/>
              </w:rPr>
              <w:t>Amphibians</w:t>
            </w:r>
          </w:p>
        </w:tc>
        <w:tc>
          <w:tcPr>
            <w:tcW w:w="990" w:type="dxa"/>
            <w:tcBorders>
              <w:top w:val="nil"/>
              <w:left w:val="nil"/>
              <w:bottom w:val="single" w:sz="8" w:space="0" w:color="auto"/>
              <w:right w:val="single" w:sz="8" w:space="0" w:color="auto"/>
            </w:tcBorders>
            <w:shd w:val="clear" w:color="auto" w:fill="auto"/>
            <w:vAlign w:val="center"/>
            <w:hideMark/>
          </w:tcPr>
          <w:p w14:paraId="342C917F" w14:textId="414A3911"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1170" w:type="dxa"/>
            <w:tcBorders>
              <w:top w:val="nil"/>
              <w:left w:val="nil"/>
              <w:bottom w:val="single" w:sz="8" w:space="0" w:color="auto"/>
              <w:right w:val="nil"/>
            </w:tcBorders>
            <w:shd w:val="clear" w:color="auto" w:fill="auto"/>
            <w:vAlign w:val="center"/>
          </w:tcPr>
          <w:p w14:paraId="2CD68EE7" w14:textId="4EAC7F8E" w:rsidR="001D516E" w:rsidRPr="000F3FE0" w:rsidRDefault="001D516E" w:rsidP="001D516E">
            <w:pPr>
              <w:jc w:val="center"/>
              <w:rPr>
                <w:rFonts w:cstheme="minorHAnsi"/>
                <w:sz w:val="20"/>
                <w:szCs w:val="20"/>
              </w:rPr>
            </w:pPr>
            <w:r w:rsidRPr="005F4476">
              <w:rPr>
                <w:rFonts w:ascii="Calibri" w:hAnsi="Calibri" w:cs="Calibri"/>
                <w:color w:val="000000"/>
                <w:sz w:val="20"/>
                <w:szCs w:val="20"/>
              </w:rPr>
              <w:t>32</w:t>
            </w:r>
          </w:p>
        </w:tc>
        <w:tc>
          <w:tcPr>
            <w:tcW w:w="1980" w:type="dxa"/>
            <w:tcBorders>
              <w:top w:val="nil"/>
              <w:left w:val="single" w:sz="8" w:space="0" w:color="auto"/>
              <w:bottom w:val="single" w:sz="8" w:space="0" w:color="auto"/>
              <w:right w:val="nil"/>
            </w:tcBorders>
            <w:shd w:val="clear" w:color="auto" w:fill="auto"/>
            <w:noWrap/>
            <w:vAlign w:val="center"/>
            <w:hideMark/>
          </w:tcPr>
          <w:p w14:paraId="3E34FE9F" w14:textId="6A7BBA29" w:rsidR="001D516E" w:rsidRPr="000F3FE0" w:rsidRDefault="001D516E" w:rsidP="001D516E">
            <w:pPr>
              <w:jc w:val="center"/>
              <w:rPr>
                <w:rFonts w:cstheme="minorHAnsi"/>
                <w:sz w:val="20"/>
                <w:szCs w:val="20"/>
              </w:rPr>
            </w:pPr>
            <w:r w:rsidRPr="005F4476">
              <w:rPr>
                <w:rFonts w:ascii="Calibri" w:hAnsi="Calibri" w:cs="Calibri"/>
                <w:color w:val="000000"/>
                <w:sz w:val="20"/>
                <w:szCs w:val="20"/>
              </w:rPr>
              <w:t>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1218F746" w14:textId="7F08EDA2" w:rsidR="001D516E" w:rsidRPr="000F3FE0" w:rsidRDefault="001D516E" w:rsidP="001D516E">
            <w:pPr>
              <w:jc w:val="center"/>
              <w:rPr>
                <w:rFonts w:cstheme="minorHAnsi"/>
                <w:sz w:val="20"/>
                <w:szCs w:val="20"/>
              </w:rPr>
            </w:pPr>
            <w:r w:rsidRPr="005F4476">
              <w:rPr>
                <w:rFonts w:ascii="Calibri" w:hAnsi="Calibri" w:cs="Calibri"/>
                <w:color w:val="000000"/>
                <w:sz w:val="20"/>
                <w:szCs w:val="20"/>
              </w:rPr>
              <w:t>31</w:t>
            </w:r>
          </w:p>
        </w:tc>
        <w:tc>
          <w:tcPr>
            <w:tcW w:w="744" w:type="dxa"/>
            <w:tcBorders>
              <w:top w:val="nil"/>
              <w:left w:val="nil"/>
              <w:bottom w:val="single" w:sz="8" w:space="0" w:color="auto"/>
              <w:right w:val="single" w:sz="8" w:space="0" w:color="auto"/>
            </w:tcBorders>
            <w:shd w:val="clear" w:color="auto" w:fill="auto"/>
            <w:noWrap/>
            <w:vAlign w:val="center"/>
          </w:tcPr>
          <w:p w14:paraId="62D30647" w14:textId="28E2420A" w:rsidR="001D516E" w:rsidRPr="000F3FE0" w:rsidRDefault="001D516E" w:rsidP="001D516E">
            <w:pPr>
              <w:jc w:val="center"/>
              <w:rPr>
                <w:rFonts w:cstheme="minorHAnsi"/>
                <w:sz w:val="20"/>
                <w:szCs w:val="20"/>
              </w:rPr>
            </w:pPr>
            <w:r w:rsidRPr="005F4476">
              <w:rPr>
                <w:rFonts w:ascii="Calibri" w:hAnsi="Calibri" w:cs="Calibri"/>
                <w:color w:val="000000"/>
                <w:sz w:val="20"/>
                <w:szCs w:val="20"/>
              </w:rPr>
              <w:t>36</w:t>
            </w:r>
          </w:p>
        </w:tc>
      </w:tr>
      <w:tr w:rsidR="001D516E" w:rsidRPr="000F3FE0" w14:paraId="03ADADF4"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5083A78B" w14:textId="7224C38D" w:rsidR="001D516E" w:rsidRPr="000F3FE0" w:rsidRDefault="001D516E" w:rsidP="001D516E">
            <w:pPr>
              <w:rPr>
                <w:rFonts w:cstheme="minorHAnsi"/>
                <w:sz w:val="20"/>
                <w:szCs w:val="20"/>
              </w:rPr>
            </w:pPr>
            <w:r w:rsidRPr="005F4476">
              <w:rPr>
                <w:rFonts w:ascii="Calibri" w:hAnsi="Calibri" w:cs="Calibri"/>
                <w:color w:val="000000"/>
                <w:sz w:val="20"/>
                <w:szCs w:val="20"/>
              </w:rPr>
              <w:t>Reptiles</w:t>
            </w:r>
          </w:p>
        </w:tc>
        <w:tc>
          <w:tcPr>
            <w:tcW w:w="990" w:type="dxa"/>
            <w:tcBorders>
              <w:top w:val="nil"/>
              <w:left w:val="nil"/>
              <w:bottom w:val="single" w:sz="8" w:space="0" w:color="auto"/>
              <w:right w:val="single" w:sz="8" w:space="0" w:color="auto"/>
            </w:tcBorders>
            <w:shd w:val="clear" w:color="auto" w:fill="auto"/>
            <w:vAlign w:val="center"/>
            <w:hideMark/>
          </w:tcPr>
          <w:p w14:paraId="65BF5E81" w14:textId="43CAC6F9"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170" w:type="dxa"/>
            <w:tcBorders>
              <w:top w:val="nil"/>
              <w:left w:val="nil"/>
              <w:bottom w:val="single" w:sz="8" w:space="0" w:color="auto"/>
              <w:right w:val="nil"/>
            </w:tcBorders>
            <w:shd w:val="clear" w:color="auto" w:fill="auto"/>
            <w:vAlign w:val="center"/>
          </w:tcPr>
          <w:p w14:paraId="799960FD" w14:textId="16C00F7C" w:rsidR="001D516E" w:rsidRPr="000F3FE0" w:rsidRDefault="001D516E" w:rsidP="001D516E">
            <w:pPr>
              <w:jc w:val="center"/>
              <w:rPr>
                <w:rFonts w:cstheme="minorHAnsi"/>
                <w:sz w:val="20"/>
                <w:szCs w:val="20"/>
              </w:rPr>
            </w:pPr>
            <w:r w:rsidRPr="005F4476">
              <w:rPr>
                <w:rFonts w:ascii="Calibri" w:hAnsi="Calibri" w:cs="Calibri"/>
                <w:color w:val="000000"/>
                <w:sz w:val="20"/>
                <w:szCs w:val="20"/>
              </w:rPr>
              <w:t>37</w:t>
            </w:r>
          </w:p>
        </w:tc>
        <w:tc>
          <w:tcPr>
            <w:tcW w:w="1980" w:type="dxa"/>
            <w:tcBorders>
              <w:top w:val="nil"/>
              <w:left w:val="single" w:sz="8" w:space="0" w:color="auto"/>
              <w:bottom w:val="single" w:sz="8" w:space="0" w:color="auto"/>
              <w:right w:val="nil"/>
            </w:tcBorders>
            <w:shd w:val="clear" w:color="auto" w:fill="auto"/>
            <w:noWrap/>
            <w:vAlign w:val="center"/>
            <w:hideMark/>
          </w:tcPr>
          <w:p w14:paraId="0C2AB9DB" w14:textId="71FBC1A2" w:rsidR="001D516E" w:rsidRPr="000F3FE0" w:rsidRDefault="001D516E" w:rsidP="001D516E">
            <w:pPr>
              <w:jc w:val="center"/>
              <w:rPr>
                <w:rFonts w:cstheme="minorHAnsi"/>
                <w:sz w:val="20"/>
                <w:szCs w:val="20"/>
              </w:rPr>
            </w:pPr>
            <w:r w:rsidRPr="005F4476">
              <w:rPr>
                <w:rFonts w:ascii="Calibri" w:hAnsi="Calibri" w:cs="Calibri"/>
                <w:color w:val="000000"/>
                <w:sz w:val="20"/>
                <w:szCs w:val="20"/>
              </w:rPr>
              <w:t>11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5E28C86B" w14:textId="5C67D21A" w:rsidR="001D516E" w:rsidRPr="000F3FE0" w:rsidRDefault="001D516E" w:rsidP="001D516E">
            <w:pPr>
              <w:jc w:val="center"/>
              <w:rPr>
                <w:rFonts w:cstheme="minorHAnsi"/>
                <w:sz w:val="20"/>
                <w:szCs w:val="20"/>
              </w:rPr>
            </w:pPr>
            <w:r w:rsidRPr="005F4476">
              <w:rPr>
                <w:rFonts w:ascii="Calibri" w:hAnsi="Calibri" w:cs="Calibri"/>
                <w:color w:val="000000"/>
                <w:sz w:val="20"/>
                <w:szCs w:val="20"/>
              </w:rPr>
              <w:t>26</w:t>
            </w:r>
          </w:p>
        </w:tc>
        <w:tc>
          <w:tcPr>
            <w:tcW w:w="744" w:type="dxa"/>
            <w:tcBorders>
              <w:top w:val="nil"/>
              <w:left w:val="nil"/>
              <w:bottom w:val="single" w:sz="8" w:space="0" w:color="auto"/>
              <w:right w:val="single" w:sz="8" w:space="0" w:color="auto"/>
            </w:tcBorders>
            <w:shd w:val="clear" w:color="auto" w:fill="auto"/>
            <w:noWrap/>
            <w:vAlign w:val="center"/>
          </w:tcPr>
          <w:p w14:paraId="5D9DA41C" w14:textId="5233F7BA" w:rsidR="001D516E" w:rsidRPr="000F3FE0" w:rsidRDefault="001D516E" w:rsidP="001D516E">
            <w:pPr>
              <w:jc w:val="center"/>
              <w:rPr>
                <w:rFonts w:cstheme="minorHAnsi"/>
                <w:sz w:val="20"/>
                <w:szCs w:val="20"/>
              </w:rPr>
            </w:pPr>
            <w:r w:rsidRPr="005F4476">
              <w:rPr>
                <w:rFonts w:ascii="Calibri" w:hAnsi="Calibri" w:cs="Calibri"/>
                <w:color w:val="000000"/>
                <w:sz w:val="20"/>
                <w:szCs w:val="20"/>
              </w:rPr>
              <w:t>47</w:t>
            </w:r>
          </w:p>
        </w:tc>
      </w:tr>
      <w:tr w:rsidR="001D516E" w:rsidRPr="000F3FE0" w14:paraId="3651E8A5"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38F70CB5" w14:textId="38C46C71" w:rsidR="001D516E" w:rsidRPr="000F3FE0" w:rsidRDefault="001D516E" w:rsidP="001D516E">
            <w:pPr>
              <w:rPr>
                <w:rFonts w:cstheme="minorHAnsi"/>
                <w:sz w:val="20"/>
                <w:szCs w:val="20"/>
              </w:rPr>
            </w:pPr>
            <w:r w:rsidRPr="005F4476">
              <w:rPr>
                <w:rFonts w:ascii="Calibri" w:hAnsi="Calibri" w:cs="Calibri"/>
                <w:color w:val="000000"/>
                <w:sz w:val="20"/>
                <w:szCs w:val="20"/>
              </w:rPr>
              <w:t>Fish</w:t>
            </w:r>
          </w:p>
        </w:tc>
        <w:tc>
          <w:tcPr>
            <w:tcW w:w="990" w:type="dxa"/>
            <w:tcBorders>
              <w:top w:val="nil"/>
              <w:left w:val="nil"/>
              <w:bottom w:val="single" w:sz="8" w:space="0" w:color="auto"/>
              <w:right w:val="single" w:sz="8" w:space="0" w:color="auto"/>
            </w:tcBorders>
            <w:shd w:val="clear" w:color="auto" w:fill="auto"/>
            <w:vAlign w:val="center"/>
            <w:hideMark/>
          </w:tcPr>
          <w:p w14:paraId="78AF55E4" w14:textId="0A521441" w:rsidR="001D516E" w:rsidRPr="000F3FE0" w:rsidRDefault="001D516E" w:rsidP="001D516E">
            <w:pPr>
              <w:jc w:val="center"/>
              <w:rPr>
                <w:rFonts w:cstheme="minorHAnsi"/>
                <w:sz w:val="20"/>
                <w:szCs w:val="20"/>
              </w:rPr>
            </w:pPr>
            <w:r w:rsidRPr="005F4476">
              <w:rPr>
                <w:rFonts w:ascii="Calibri" w:hAnsi="Calibri" w:cs="Calibri"/>
                <w:color w:val="000000"/>
                <w:sz w:val="20"/>
                <w:szCs w:val="20"/>
              </w:rPr>
              <w:t>0</w:t>
            </w:r>
          </w:p>
        </w:tc>
        <w:tc>
          <w:tcPr>
            <w:tcW w:w="1170" w:type="dxa"/>
            <w:tcBorders>
              <w:top w:val="nil"/>
              <w:left w:val="nil"/>
              <w:bottom w:val="single" w:sz="8" w:space="0" w:color="auto"/>
              <w:right w:val="nil"/>
            </w:tcBorders>
            <w:shd w:val="clear" w:color="auto" w:fill="auto"/>
            <w:vAlign w:val="center"/>
          </w:tcPr>
          <w:p w14:paraId="797EF95F" w14:textId="66CB5E2C" w:rsidR="001D516E" w:rsidRPr="000F3FE0" w:rsidRDefault="001D516E" w:rsidP="001D516E">
            <w:pPr>
              <w:jc w:val="center"/>
              <w:rPr>
                <w:rFonts w:cstheme="minorHAnsi"/>
                <w:sz w:val="20"/>
                <w:szCs w:val="20"/>
              </w:rPr>
            </w:pPr>
            <w:r w:rsidRPr="005F4476">
              <w:rPr>
                <w:rFonts w:ascii="Calibri" w:hAnsi="Calibri" w:cs="Calibri"/>
                <w:color w:val="000000"/>
                <w:sz w:val="20"/>
                <w:szCs w:val="20"/>
              </w:rPr>
              <w:t>190</w:t>
            </w:r>
          </w:p>
        </w:tc>
        <w:tc>
          <w:tcPr>
            <w:tcW w:w="1980" w:type="dxa"/>
            <w:tcBorders>
              <w:top w:val="nil"/>
              <w:left w:val="single" w:sz="8" w:space="0" w:color="auto"/>
              <w:bottom w:val="single" w:sz="8" w:space="0" w:color="auto"/>
              <w:right w:val="nil"/>
            </w:tcBorders>
            <w:shd w:val="clear" w:color="auto" w:fill="auto"/>
            <w:noWrap/>
            <w:vAlign w:val="center"/>
            <w:hideMark/>
          </w:tcPr>
          <w:p w14:paraId="1731A0EF" w14:textId="51C757CC" w:rsidR="001D516E" w:rsidRPr="000F3FE0" w:rsidRDefault="001D516E" w:rsidP="001D516E">
            <w:pPr>
              <w:jc w:val="center"/>
              <w:rPr>
                <w:rFonts w:cstheme="minorHAnsi"/>
                <w:sz w:val="20"/>
                <w:szCs w:val="20"/>
              </w:rPr>
            </w:pPr>
            <w:r w:rsidRPr="005F4476">
              <w:rPr>
                <w:rFonts w:ascii="Calibri" w:hAnsi="Calibri" w:cs="Calibri"/>
                <w:color w:val="000000"/>
                <w:sz w:val="20"/>
                <w:szCs w:val="20"/>
              </w:rPr>
              <w:t>18</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65F7A832" w14:textId="34415957" w:rsidR="001D516E" w:rsidRPr="000F3FE0" w:rsidRDefault="001D516E" w:rsidP="001D516E">
            <w:pPr>
              <w:jc w:val="center"/>
              <w:rPr>
                <w:rFonts w:cstheme="minorHAnsi"/>
                <w:sz w:val="20"/>
                <w:szCs w:val="20"/>
              </w:rPr>
            </w:pPr>
            <w:r w:rsidRPr="005F4476">
              <w:rPr>
                <w:rFonts w:ascii="Calibri" w:hAnsi="Calibri" w:cs="Calibri"/>
                <w:color w:val="000000"/>
                <w:sz w:val="20"/>
                <w:szCs w:val="20"/>
              </w:rPr>
              <w:t>172</w:t>
            </w:r>
          </w:p>
        </w:tc>
        <w:tc>
          <w:tcPr>
            <w:tcW w:w="744" w:type="dxa"/>
            <w:tcBorders>
              <w:top w:val="nil"/>
              <w:left w:val="nil"/>
              <w:bottom w:val="single" w:sz="8" w:space="0" w:color="auto"/>
              <w:right w:val="single" w:sz="8" w:space="0" w:color="auto"/>
            </w:tcBorders>
            <w:shd w:val="clear" w:color="auto" w:fill="auto"/>
            <w:noWrap/>
            <w:vAlign w:val="center"/>
          </w:tcPr>
          <w:p w14:paraId="68FC68EB" w14:textId="76EAEE37" w:rsidR="001D516E" w:rsidRPr="000F3FE0" w:rsidRDefault="001D516E" w:rsidP="001D516E">
            <w:pPr>
              <w:jc w:val="center"/>
              <w:rPr>
                <w:rFonts w:cstheme="minorHAnsi"/>
                <w:sz w:val="20"/>
                <w:szCs w:val="20"/>
              </w:rPr>
            </w:pPr>
            <w:r w:rsidRPr="005F4476">
              <w:rPr>
                <w:rFonts w:ascii="Calibri" w:hAnsi="Calibri" w:cs="Calibri"/>
                <w:color w:val="000000"/>
                <w:sz w:val="20"/>
                <w:szCs w:val="20"/>
              </w:rPr>
              <w:t>190</w:t>
            </w:r>
          </w:p>
        </w:tc>
      </w:tr>
      <w:tr w:rsidR="001D516E" w:rsidRPr="000F3FE0" w14:paraId="3EECA65D"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7F56E3A5" w14:textId="789DBE1A" w:rsidR="001D516E" w:rsidRPr="000F3FE0" w:rsidRDefault="001D516E" w:rsidP="001D516E">
            <w:pPr>
              <w:rPr>
                <w:rFonts w:cstheme="minorHAnsi"/>
                <w:sz w:val="20"/>
                <w:szCs w:val="20"/>
              </w:rPr>
            </w:pPr>
            <w:r w:rsidRPr="005F4476">
              <w:rPr>
                <w:rFonts w:ascii="Calibri" w:hAnsi="Calibri" w:cs="Calibri"/>
                <w:color w:val="000000"/>
                <w:sz w:val="20"/>
                <w:szCs w:val="20"/>
              </w:rPr>
              <w:t>Plants</w:t>
            </w:r>
          </w:p>
        </w:tc>
        <w:tc>
          <w:tcPr>
            <w:tcW w:w="990" w:type="dxa"/>
            <w:tcBorders>
              <w:top w:val="nil"/>
              <w:left w:val="nil"/>
              <w:bottom w:val="single" w:sz="8" w:space="0" w:color="auto"/>
              <w:right w:val="single" w:sz="8" w:space="0" w:color="auto"/>
            </w:tcBorders>
            <w:shd w:val="clear" w:color="auto" w:fill="auto"/>
            <w:vAlign w:val="center"/>
            <w:hideMark/>
          </w:tcPr>
          <w:p w14:paraId="43682BC0" w14:textId="59CC5AA4" w:rsidR="001D516E" w:rsidRPr="000F3FE0" w:rsidRDefault="001D516E" w:rsidP="001D516E">
            <w:pPr>
              <w:jc w:val="center"/>
              <w:rPr>
                <w:rFonts w:cstheme="minorHAnsi"/>
                <w:sz w:val="20"/>
                <w:szCs w:val="20"/>
              </w:rPr>
            </w:pPr>
            <w:r w:rsidRPr="005F4476">
              <w:rPr>
                <w:rFonts w:ascii="Calibri" w:hAnsi="Calibri" w:cs="Calibri"/>
                <w:color w:val="000000"/>
                <w:sz w:val="20"/>
                <w:szCs w:val="20"/>
              </w:rPr>
              <w:t>498</w:t>
            </w:r>
          </w:p>
        </w:tc>
        <w:tc>
          <w:tcPr>
            <w:tcW w:w="1170" w:type="dxa"/>
            <w:tcBorders>
              <w:top w:val="nil"/>
              <w:left w:val="nil"/>
              <w:bottom w:val="single" w:sz="8" w:space="0" w:color="auto"/>
              <w:right w:val="nil"/>
            </w:tcBorders>
            <w:shd w:val="clear" w:color="auto" w:fill="auto"/>
            <w:vAlign w:val="center"/>
          </w:tcPr>
          <w:p w14:paraId="0E633381" w14:textId="0AD3C88A" w:rsidR="001D516E" w:rsidRPr="000F3FE0" w:rsidRDefault="001D516E" w:rsidP="001D516E">
            <w:pPr>
              <w:jc w:val="center"/>
              <w:rPr>
                <w:rFonts w:cstheme="minorHAnsi"/>
                <w:sz w:val="20"/>
                <w:szCs w:val="20"/>
              </w:rPr>
            </w:pPr>
            <w:r w:rsidRPr="005F4476">
              <w:rPr>
                <w:rFonts w:ascii="Calibri" w:hAnsi="Calibri" w:cs="Calibri"/>
                <w:color w:val="000000"/>
                <w:sz w:val="20"/>
                <w:szCs w:val="20"/>
              </w:rPr>
              <w:t>450</w:t>
            </w:r>
          </w:p>
        </w:tc>
        <w:tc>
          <w:tcPr>
            <w:tcW w:w="1980" w:type="dxa"/>
            <w:tcBorders>
              <w:top w:val="nil"/>
              <w:left w:val="single" w:sz="8" w:space="0" w:color="auto"/>
              <w:bottom w:val="single" w:sz="8" w:space="0" w:color="auto"/>
              <w:right w:val="nil"/>
            </w:tcBorders>
            <w:shd w:val="clear" w:color="auto" w:fill="auto"/>
            <w:noWrap/>
            <w:vAlign w:val="center"/>
            <w:hideMark/>
          </w:tcPr>
          <w:p w14:paraId="0EBB8BAC" w14:textId="7E49CF74" w:rsidR="001D516E" w:rsidRPr="000F3FE0" w:rsidRDefault="001D516E" w:rsidP="001D516E">
            <w:pPr>
              <w:jc w:val="center"/>
              <w:rPr>
                <w:rFonts w:cstheme="minorHAnsi"/>
                <w:sz w:val="20"/>
                <w:szCs w:val="20"/>
              </w:rPr>
            </w:pPr>
            <w:r w:rsidRPr="005F4476">
              <w:rPr>
                <w:rFonts w:ascii="Calibri" w:hAnsi="Calibri" w:cs="Calibri"/>
                <w:color w:val="000000"/>
                <w:sz w:val="20"/>
                <w:szCs w:val="20"/>
              </w:rPr>
              <w:t>25</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4BE9F49D" w14:textId="0B3A47F7" w:rsidR="001D516E" w:rsidRPr="000F3FE0" w:rsidRDefault="001D516E" w:rsidP="001D516E">
            <w:pPr>
              <w:jc w:val="center"/>
              <w:rPr>
                <w:rFonts w:cstheme="minorHAnsi"/>
                <w:sz w:val="20"/>
                <w:szCs w:val="20"/>
              </w:rPr>
            </w:pPr>
            <w:r w:rsidRPr="005F4476">
              <w:rPr>
                <w:rFonts w:ascii="Calibri" w:hAnsi="Calibri" w:cs="Calibri"/>
                <w:color w:val="000000"/>
                <w:sz w:val="20"/>
                <w:szCs w:val="20"/>
              </w:rPr>
              <w:t>425</w:t>
            </w:r>
          </w:p>
        </w:tc>
        <w:tc>
          <w:tcPr>
            <w:tcW w:w="744" w:type="dxa"/>
            <w:tcBorders>
              <w:top w:val="nil"/>
              <w:left w:val="nil"/>
              <w:bottom w:val="single" w:sz="8" w:space="0" w:color="auto"/>
              <w:right w:val="single" w:sz="8" w:space="0" w:color="auto"/>
            </w:tcBorders>
            <w:shd w:val="clear" w:color="auto" w:fill="auto"/>
            <w:noWrap/>
            <w:vAlign w:val="center"/>
          </w:tcPr>
          <w:p w14:paraId="695A0E8A" w14:textId="2E1BF5AF" w:rsidR="001D516E" w:rsidRPr="000F3FE0" w:rsidRDefault="001D516E" w:rsidP="001D516E">
            <w:pPr>
              <w:jc w:val="center"/>
              <w:rPr>
                <w:rFonts w:cstheme="minorHAnsi"/>
                <w:sz w:val="20"/>
                <w:szCs w:val="20"/>
              </w:rPr>
            </w:pPr>
            <w:r w:rsidRPr="005F4476">
              <w:rPr>
                <w:rFonts w:ascii="Calibri" w:hAnsi="Calibri" w:cs="Calibri"/>
                <w:color w:val="000000"/>
                <w:sz w:val="20"/>
                <w:szCs w:val="20"/>
              </w:rPr>
              <w:t>948</w:t>
            </w:r>
          </w:p>
        </w:tc>
      </w:tr>
      <w:tr w:rsidR="001D516E" w:rsidRPr="000F3FE0" w14:paraId="3C74A138"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17B71CA6" w14:textId="67CCB9FD" w:rsidR="001D516E" w:rsidRPr="000F3FE0" w:rsidRDefault="001D516E" w:rsidP="001D516E">
            <w:pPr>
              <w:rPr>
                <w:rFonts w:cstheme="minorHAnsi"/>
                <w:sz w:val="20"/>
                <w:szCs w:val="20"/>
              </w:rPr>
            </w:pPr>
            <w:r w:rsidRPr="005F4476">
              <w:rPr>
                <w:rFonts w:ascii="Calibri" w:hAnsi="Calibri" w:cs="Calibri"/>
                <w:color w:val="000000"/>
                <w:sz w:val="20"/>
                <w:szCs w:val="20"/>
              </w:rPr>
              <w:t>Aquatic Invertebrates</w:t>
            </w:r>
          </w:p>
        </w:tc>
        <w:tc>
          <w:tcPr>
            <w:tcW w:w="990" w:type="dxa"/>
            <w:tcBorders>
              <w:top w:val="nil"/>
              <w:left w:val="nil"/>
              <w:bottom w:val="single" w:sz="8" w:space="0" w:color="auto"/>
              <w:right w:val="single" w:sz="8" w:space="0" w:color="auto"/>
            </w:tcBorders>
            <w:shd w:val="clear" w:color="auto" w:fill="auto"/>
            <w:vAlign w:val="center"/>
            <w:hideMark/>
          </w:tcPr>
          <w:p w14:paraId="66D2BE21" w14:textId="33B325D6"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170" w:type="dxa"/>
            <w:tcBorders>
              <w:top w:val="nil"/>
              <w:left w:val="nil"/>
              <w:bottom w:val="single" w:sz="8" w:space="0" w:color="auto"/>
              <w:right w:val="nil"/>
            </w:tcBorders>
            <w:shd w:val="clear" w:color="auto" w:fill="auto"/>
            <w:vAlign w:val="center"/>
          </w:tcPr>
          <w:p w14:paraId="3DD4F02C" w14:textId="187B06E2" w:rsidR="001D516E" w:rsidRPr="000F3FE0" w:rsidRDefault="001D516E" w:rsidP="001D516E">
            <w:pPr>
              <w:jc w:val="center"/>
              <w:rPr>
                <w:rFonts w:cstheme="minorHAnsi"/>
                <w:sz w:val="20"/>
                <w:szCs w:val="20"/>
              </w:rPr>
            </w:pPr>
            <w:r w:rsidRPr="005F4476">
              <w:rPr>
                <w:rFonts w:ascii="Calibri" w:hAnsi="Calibri" w:cs="Calibri"/>
                <w:color w:val="000000"/>
                <w:sz w:val="20"/>
                <w:szCs w:val="20"/>
              </w:rPr>
              <w:t>197</w:t>
            </w:r>
          </w:p>
        </w:tc>
        <w:tc>
          <w:tcPr>
            <w:tcW w:w="1980" w:type="dxa"/>
            <w:tcBorders>
              <w:top w:val="nil"/>
              <w:left w:val="single" w:sz="8" w:space="0" w:color="auto"/>
              <w:bottom w:val="single" w:sz="8" w:space="0" w:color="auto"/>
              <w:right w:val="nil"/>
            </w:tcBorders>
            <w:shd w:val="clear" w:color="auto" w:fill="auto"/>
            <w:noWrap/>
            <w:vAlign w:val="center"/>
            <w:hideMark/>
          </w:tcPr>
          <w:p w14:paraId="2D0EAF50" w14:textId="6D794154" w:rsidR="001D516E" w:rsidRPr="000F3FE0" w:rsidRDefault="001D516E" w:rsidP="001D516E">
            <w:pPr>
              <w:jc w:val="center"/>
              <w:rPr>
                <w:rFonts w:cstheme="minorHAnsi"/>
                <w:sz w:val="20"/>
                <w:szCs w:val="20"/>
              </w:rPr>
            </w:pPr>
            <w:r w:rsidRPr="005F4476">
              <w:rPr>
                <w:rFonts w:ascii="Calibri" w:hAnsi="Calibri" w:cs="Calibri"/>
                <w:color w:val="000000"/>
                <w:sz w:val="20"/>
                <w:szCs w:val="20"/>
              </w:rPr>
              <w:t>17</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2768560C" w14:textId="34F7CD7A" w:rsidR="001D516E" w:rsidRPr="000F3FE0" w:rsidRDefault="001D516E" w:rsidP="001D516E">
            <w:pPr>
              <w:jc w:val="center"/>
              <w:rPr>
                <w:rFonts w:cstheme="minorHAnsi"/>
                <w:sz w:val="20"/>
                <w:szCs w:val="20"/>
              </w:rPr>
            </w:pPr>
            <w:r w:rsidRPr="005F4476">
              <w:rPr>
                <w:rFonts w:ascii="Calibri" w:hAnsi="Calibri" w:cs="Calibri"/>
                <w:color w:val="000000"/>
                <w:sz w:val="20"/>
                <w:szCs w:val="20"/>
              </w:rPr>
              <w:t>180</w:t>
            </w:r>
          </w:p>
        </w:tc>
        <w:tc>
          <w:tcPr>
            <w:tcW w:w="744" w:type="dxa"/>
            <w:tcBorders>
              <w:top w:val="nil"/>
              <w:left w:val="nil"/>
              <w:bottom w:val="single" w:sz="8" w:space="0" w:color="auto"/>
              <w:right w:val="single" w:sz="8" w:space="0" w:color="auto"/>
            </w:tcBorders>
            <w:shd w:val="clear" w:color="auto" w:fill="auto"/>
            <w:noWrap/>
            <w:vAlign w:val="center"/>
          </w:tcPr>
          <w:p w14:paraId="68B9D6DC" w14:textId="0C6652F7" w:rsidR="001D516E" w:rsidRPr="000F3FE0" w:rsidRDefault="001D516E" w:rsidP="001D516E">
            <w:pPr>
              <w:jc w:val="center"/>
              <w:rPr>
                <w:rFonts w:cstheme="minorHAnsi"/>
                <w:sz w:val="20"/>
                <w:szCs w:val="20"/>
              </w:rPr>
            </w:pPr>
            <w:r w:rsidRPr="005F4476">
              <w:rPr>
                <w:rFonts w:ascii="Calibri" w:hAnsi="Calibri" w:cs="Calibri"/>
                <w:color w:val="000000"/>
                <w:sz w:val="20"/>
                <w:szCs w:val="20"/>
              </w:rPr>
              <w:t>207</w:t>
            </w:r>
          </w:p>
        </w:tc>
      </w:tr>
      <w:tr w:rsidR="001D516E" w:rsidRPr="000F3FE0" w14:paraId="35A1887C"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6159BF61" w14:textId="506B543B" w:rsidR="001D516E" w:rsidRPr="000F3FE0" w:rsidRDefault="001D516E" w:rsidP="001D516E">
            <w:pPr>
              <w:rPr>
                <w:rFonts w:cstheme="minorHAnsi"/>
                <w:sz w:val="20"/>
                <w:szCs w:val="20"/>
              </w:rPr>
            </w:pPr>
            <w:r w:rsidRPr="005F4476">
              <w:rPr>
                <w:rFonts w:ascii="Calibri" w:hAnsi="Calibri" w:cs="Calibri"/>
                <w:color w:val="000000"/>
                <w:sz w:val="20"/>
                <w:szCs w:val="20"/>
              </w:rPr>
              <w:t>Terrestrial Invertebrates</w:t>
            </w:r>
          </w:p>
        </w:tc>
        <w:tc>
          <w:tcPr>
            <w:tcW w:w="990" w:type="dxa"/>
            <w:tcBorders>
              <w:top w:val="nil"/>
              <w:left w:val="nil"/>
              <w:bottom w:val="single" w:sz="8" w:space="0" w:color="auto"/>
              <w:right w:val="single" w:sz="8" w:space="0" w:color="auto"/>
            </w:tcBorders>
            <w:shd w:val="clear" w:color="auto" w:fill="auto"/>
            <w:vAlign w:val="center"/>
            <w:hideMark/>
          </w:tcPr>
          <w:p w14:paraId="4B0FC481" w14:textId="36AFF9CD" w:rsidR="001D516E" w:rsidRPr="000F3FE0" w:rsidRDefault="001D516E" w:rsidP="001D516E">
            <w:pPr>
              <w:jc w:val="center"/>
              <w:rPr>
                <w:rFonts w:cstheme="minorHAnsi"/>
                <w:sz w:val="20"/>
                <w:szCs w:val="20"/>
              </w:rPr>
            </w:pPr>
            <w:r w:rsidRPr="005F4476">
              <w:rPr>
                <w:rFonts w:ascii="Calibri" w:hAnsi="Calibri" w:cs="Calibri"/>
                <w:color w:val="000000"/>
                <w:sz w:val="20"/>
                <w:szCs w:val="20"/>
              </w:rPr>
              <w:t>86</w:t>
            </w:r>
          </w:p>
        </w:tc>
        <w:tc>
          <w:tcPr>
            <w:tcW w:w="1170" w:type="dxa"/>
            <w:tcBorders>
              <w:top w:val="nil"/>
              <w:left w:val="nil"/>
              <w:bottom w:val="single" w:sz="8" w:space="0" w:color="auto"/>
              <w:right w:val="nil"/>
            </w:tcBorders>
            <w:shd w:val="clear" w:color="auto" w:fill="auto"/>
            <w:vAlign w:val="center"/>
          </w:tcPr>
          <w:p w14:paraId="36F261A7" w14:textId="13DA76C3" w:rsidR="001D516E" w:rsidRPr="000F3FE0" w:rsidRDefault="001D516E" w:rsidP="001D516E">
            <w:pPr>
              <w:jc w:val="center"/>
              <w:rPr>
                <w:rFonts w:cstheme="minorHAnsi"/>
                <w:sz w:val="20"/>
                <w:szCs w:val="20"/>
              </w:rPr>
            </w:pPr>
            <w:r w:rsidRPr="005F4476">
              <w:rPr>
                <w:rFonts w:ascii="Calibri" w:hAnsi="Calibri" w:cs="Calibri"/>
                <w:color w:val="000000"/>
                <w:sz w:val="20"/>
                <w:szCs w:val="20"/>
              </w:rPr>
              <w:t>74</w:t>
            </w:r>
          </w:p>
        </w:tc>
        <w:tc>
          <w:tcPr>
            <w:tcW w:w="1980" w:type="dxa"/>
            <w:tcBorders>
              <w:top w:val="nil"/>
              <w:left w:val="single" w:sz="8" w:space="0" w:color="auto"/>
              <w:bottom w:val="single" w:sz="8" w:space="0" w:color="auto"/>
              <w:right w:val="nil"/>
            </w:tcBorders>
            <w:shd w:val="clear" w:color="auto" w:fill="auto"/>
            <w:noWrap/>
            <w:vAlign w:val="center"/>
            <w:hideMark/>
          </w:tcPr>
          <w:p w14:paraId="0B9926E0" w14:textId="1EFA14D4"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0D7525BC" w14:textId="76347CEA" w:rsidR="001D516E" w:rsidRPr="000F3FE0" w:rsidRDefault="001D516E" w:rsidP="001D516E">
            <w:pPr>
              <w:jc w:val="center"/>
              <w:rPr>
                <w:rFonts w:cstheme="minorHAnsi"/>
                <w:sz w:val="20"/>
                <w:szCs w:val="20"/>
              </w:rPr>
            </w:pPr>
            <w:r w:rsidRPr="005F4476">
              <w:rPr>
                <w:rFonts w:ascii="Calibri" w:hAnsi="Calibri" w:cs="Calibri"/>
                <w:color w:val="000000"/>
                <w:sz w:val="20"/>
                <w:szCs w:val="20"/>
              </w:rPr>
              <w:t>55</w:t>
            </w:r>
          </w:p>
        </w:tc>
        <w:tc>
          <w:tcPr>
            <w:tcW w:w="744" w:type="dxa"/>
            <w:tcBorders>
              <w:top w:val="nil"/>
              <w:left w:val="nil"/>
              <w:bottom w:val="single" w:sz="8" w:space="0" w:color="auto"/>
              <w:right w:val="single" w:sz="8" w:space="0" w:color="auto"/>
            </w:tcBorders>
            <w:shd w:val="clear" w:color="auto" w:fill="auto"/>
            <w:noWrap/>
            <w:vAlign w:val="center"/>
          </w:tcPr>
          <w:p w14:paraId="62356646" w14:textId="2CD8E026" w:rsidR="001D516E" w:rsidRPr="000F3FE0" w:rsidRDefault="001D516E" w:rsidP="001D516E">
            <w:pPr>
              <w:jc w:val="center"/>
              <w:rPr>
                <w:rFonts w:cstheme="minorHAnsi"/>
                <w:sz w:val="20"/>
                <w:szCs w:val="20"/>
              </w:rPr>
            </w:pPr>
            <w:r w:rsidRPr="005F4476">
              <w:rPr>
                <w:rFonts w:ascii="Calibri" w:hAnsi="Calibri" w:cs="Calibri"/>
                <w:color w:val="000000"/>
                <w:sz w:val="20"/>
                <w:szCs w:val="20"/>
              </w:rPr>
              <w:t>160</w:t>
            </w:r>
          </w:p>
        </w:tc>
      </w:tr>
      <w:tr w:rsidR="001D516E" w:rsidRPr="000F3FE0" w14:paraId="134DE155" w14:textId="77777777" w:rsidTr="00296F73">
        <w:trPr>
          <w:trHeight w:val="288"/>
        </w:trPr>
        <w:tc>
          <w:tcPr>
            <w:tcW w:w="2245" w:type="dxa"/>
            <w:tcBorders>
              <w:top w:val="nil"/>
              <w:left w:val="single" w:sz="8" w:space="0" w:color="auto"/>
              <w:bottom w:val="single" w:sz="8" w:space="0" w:color="auto"/>
              <w:right w:val="single" w:sz="8" w:space="0" w:color="auto"/>
            </w:tcBorders>
            <w:shd w:val="clear" w:color="000000" w:fill="D9D9D9"/>
            <w:noWrap/>
            <w:vAlign w:val="center"/>
            <w:hideMark/>
          </w:tcPr>
          <w:p w14:paraId="10FDDCF5" w14:textId="208E7FC5" w:rsidR="001D516E" w:rsidRPr="000F3FE0" w:rsidRDefault="001D516E" w:rsidP="001D516E">
            <w:pPr>
              <w:rPr>
                <w:rFonts w:cstheme="minorHAnsi"/>
                <w:sz w:val="20"/>
                <w:szCs w:val="20"/>
              </w:rPr>
            </w:pPr>
            <w:r w:rsidRPr="005F4476">
              <w:rPr>
                <w:rFonts w:ascii="Calibri" w:hAnsi="Calibri" w:cs="Calibri"/>
                <w:color w:val="000000"/>
                <w:sz w:val="20"/>
                <w:szCs w:val="20"/>
              </w:rPr>
              <w:t>Total</w:t>
            </w:r>
          </w:p>
        </w:tc>
        <w:tc>
          <w:tcPr>
            <w:tcW w:w="990" w:type="dxa"/>
            <w:tcBorders>
              <w:top w:val="nil"/>
              <w:left w:val="nil"/>
              <w:bottom w:val="single" w:sz="8" w:space="0" w:color="auto"/>
              <w:right w:val="single" w:sz="8" w:space="0" w:color="auto"/>
            </w:tcBorders>
            <w:shd w:val="clear" w:color="000000" w:fill="D9D9D9"/>
            <w:vAlign w:val="center"/>
          </w:tcPr>
          <w:p w14:paraId="761269A9" w14:textId="434BFA7C" w:rsidR="001D516E" w:rsidRPr="000F3FE0" w:rsidRDefault="001D516E" w:rsidP="001D516E">
            <w:pPr>
              <w:jc w:val="center"/>
              <w:rPr>
                <w:rFonts w:cstheme="minorHAnsi"/>
                <w:sz w:val="20"/>
                <w:szCs w:val="20"/>
              </w:rPr>
            </w:pPr>
            <w:r w:rsidRPr="005F4476">
              <w:rPr>
                <w:rFonts w:ascii="Calibri" w:hAnsi="Calibri" w:cs="Calibri"/>
                <w:color w:val="000000"/>
                <w:sz w:val="20"/>
                <w:szCs w:val="20"/>
              </w:rPr>
              <w:t>680</w:t>
            </w:r>
          </w:p>
        </w:tc>
        <w:tc>
          <w:tcPr>
            <w:tcW w:w="1170" w:type="dxa"/>
            <w:tcBorders>
              <w:top w:val="nil"/>
              <w:left w:val="nil"/>
              <w:bottom w:val="single" w:sz="8" w:space="0" w:color="auto"/>
              <w:right w:val="single" w:sz="8" w:space="0" w:color="auto"/>
            </w:tcBorders>
            <w:shd w:val="clear" w:color="000000" w:fill="D9D9D9"/>
            <w:vAlign w:val="center"/>
          </w:tcPr>
          <w:p w14:paraId="3B6C5D40" w14:textId="163ADE37" w:rsidR="001D516E" w:rsidRPr="000F3FE0" w:rsidRDefault="001D516E" w:rsidP="001D516E">
            <w:pPr>
              <w:jc w:val="center"/>
              <w:rPr>
                <w:rFonts w:cstheme="minorHAnsi"/>
                <w:sz w:val="20"/>
                <w:szCs w:val="20"/>
              </w:rPr>
            </w:pPr>
            <w:r w:rsidRPr="005F4476">
              <w:rPr>
                <w:rFonts w:ascii="Calibri" w:hAnsi="Calibri" w:cs="Calibri"/>
                <w:color w:val="000000"/>
                <w:sz w:val="20"/>
                <w:szCs w:val="20"/>
              </w:rPr>
              <w:t>1115</w:t>
            </w:r>
          </w:p>
        </w:tc>
        <w:tc>
          <w:tcPr>
            <w:tcW w:w="1980" w:type="dxa"/>
            <w:tcBorders>
              <w:top w:val="nil"/>
              <w:left w:val="nil"/>
              <w:bottom w:val="single" w:sz="8" w:space="0" w:color="auto"/>
              <w:right w:val="single" w:sz="8" w:space="0" w:color="auto"/>
            </w:tcBorders>
            <w:shd w:val="clear" w:color="000000" w:fill="D9D9D9"/>
            <w:noWrap/>
            <w:vAlign w:val="center"/>
          </w:tcPr>
          <w:p w14:paraId="4742269C" w14:textId="1A47CD8C" w:rsidR="001D516E" w:rsidRPr="000F3FE0" w:rsidRDefault="001D516E" w:rsidP="001D516E">
            <w:pPr>
              <w:jc w:val="center"/>
              <w:rPr>
                <w:rFonts w:cstheme="minorHAnsi"/>
                <w:sz w:val="20"/>
                <w:szCs w:val="20"/>
              </w:rPr>
            </w:pPr>
            <w:r w:rsidRPr="005F4476">
              <w:rPr>
                <w:rFonts w:ascii="Calibri" w:hAnsi="Calibri" w:cs="Calibri"/>
                <w:color w:val="000000"/>
                <w:sz w:val="20"/>
                <w:szCs w:val="20"/>
              </w:rPr>
              <w:t>122</w:t>
            </w:r>
          </w:p>
        </w:tc>
        <w:tc>
          <w:tcPr>
            <w:tcW w:w="1799" w:type="dxa"/>
            <w:tcBorders>
              <w:top w:val="nil"/>
              <w:left w:val="nil"/>
              <w:bottom w:val="single" w:sz="8" w:space="0" w:color="auto"/>
              <w:right w:val="single" w:sz="8" w:space="0" w:color="auto"/>
            </w:tcBorders>
            <w:shd w:val="clear" w:color="000000" w:fill="D9D9D9"/>
            <w:noWrap/>
            <w:vAlign w:val="center"/>
          </w:tcPr>
          <w:p w14:paraId="4FCFF7A7" w14:textId="11A2F4B9" w:rsidR="001D516E" w:rsidRPr="000F3FE0" w:rsidRDefault="001D516E" w:rsidP="001D516E">
            <w:pPr>
              <w:jc w:val="center"/>
              <w:rPr>
                <w:rFonts w:cstheme="minorHAnsi"/>
                <w:sz w:val="20"/>
                <w:szCs w:val="20"/>
              </w:rPr>
            </w:pPr>
            <w:r w:rsidRPr="005F4476">
              <w:rPr>
                <w:rFonts w:ascii="Calibri" w:hAnsi="Calibri" w:cs="Calibri"/>
                <w:color w:val="000000"/>
                <w:sz w:val="20"/>
                <w:szCs w:val="20"/>
              </w:rPr>
              <w:t>993</w:t>
            </w:r>
          </w:p>
        </w:tc>
        <w:tc>
          <w:tcPr>
            <w:tcW w:w="744" w:type="dxa"/>
            <w:tcBorders>
              <w:top w:val="nil"/>
              <w:left w:val="nil"/>
              <w:bottom w:val="single" w:sz="8" w:space="0" w:color="auto"/>
              <w:right w:val="single" w:sz="8" w:space="0" w:color="auto"/>
            </w:tcBorders>
            <w:shd w:val="clear" w:color="000000" w:fill="D9D9D9"/>
            <w:noWrap/>
            <w:vAlign w:val="center"/>
          </w:tcPr>
          <w:p w14:paraId="785C985B" w14:textId="2C94D401" w:rsidR="001D516E" w:rsidRPr="000F3FE0" w:rsidRDefault="001D516E" w:rsidP="001D516E">
            <w:pPr>
              <w:jc w:val="center"/>
              <w:rPr>
                <w:rFonts w:cstheme="minorHAnsi"/>
                <w:sz w:val="20"/>
                <w:szCs w:val="20"/>
              </w:rPr>
            </w:pPr>
            <w:r w:rsidRPr="005F4476">
              <w:rPr>
                <w:rFonts w:ascii="Calibri" w:hAnsi="Calibri" w:cs="Calibri"/>
                <w:color w:val="000000"/>
                <w:sz w:val="20"/>
                <w:szCs w:val="20"/>
              </w:rPr>
              <w:t>1795</w:t>
            </w:r>
          </w:p>
        </w:tc>
      </w:tr>
      <w:tr w:rsidR="001D516E" w:rsidRPr="000F3FE0" w14:paraId="12728DAD" w14:textId="77777777" w:rsidTr="00296F73">
        <w:trPr>
          <w:trHeight w:val="288"/>
        </w:trPr>
        <w:tc>
          <w:tcPr>
            <w:tcW w:w="2245" w:type="dxa"/>
            <w:tcBorders>
              <w:top w:val="nil"/>
              <w:left w:val="single" w:sz="8" w:space="0" w:color="auto"/>
              <w:bottom w:val="single" w:sz="8" w:space="0" w:color="auto"/>
              <w:right w:val="single" w:sz="8" w:space="0" w:color="auto"/>
            </w:tcBorders>
            <w:shd w:val="clear" w:color="000000" w:fill="D9D9D9"/>
            <w:noWrap/>
            <w:vAlign w:val="center"/>
            <w:hideMark/>
          </w:tcPr>
          <w:p w14:paraId="2DCA408A" w14:textId="6A03D25F" w:rsidR="001D516E" w:rsidRPr="000F3FE0" w:rsidRDefault="001D516E" w:rsidP="001D516E">
            <w:pPr>
              <w:rPr>
                <w:rFonts w:cstheme="minorHAnsi"/>
                <w:sz w:val="20"/>
                <w:szCs w:val="20"/>
              </w:rPr>
            </w:pPr>
            <w:r w:rsidRPr="005F4476">
              <w:rPr>
                <w:rFonts w:ascii="Calibri" w:hAnsi="Calibri" w:cs="Calibri"/>
                <w:color w:val="000000"/>
                <w:sz w:val="20"/>
                <w:szCs w:val="20"/>
              </w:rPr>
              <w:t>Percent of total</w:t>
            </w:r>
          </w:p>
        </w:tc>
        <w:tc>
          <w:tcPr>
            <w:tcW w:w="990" w:type="dxa"/>
            <w:tcBorders>
              <w:top w:val="nil"/>
              <w:left w:val="nil"/>
              <w:bottom w:val="single" w:sz="8" w:space="0" w:color="auto"/>
              <w:right w:val="single" w:sz="8" w:space="0" w:color="auto"/>
            </w:tcBorders>
            <w:shd w:val="clear" w:color="000000" w:fill="D9D9D9"/>
            <w:noWrap/>
            <w:vAlign w:val="center"/>
          </w:tcPr>
          <w:p w14:paraId="431AACA0" w14:textId="39138DC7"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38%</w:t>
            </w:r>
          </w:p>
        </w:tc>
        <w:tc>
          <w:tcPr>
            <w:tcW w:w="1170" w:type="dxa"/>
            <w:tcBorders>
              <w:top w:val="nil"/>
              <w:left w:val="nil"/>
              <w:bottom w:val="single" w:sz="8" w:space="0" w:color="auto"/>
              <w:right w:val="single" w:sz="8" w:space="0" w:color="auto"/>
            </w:tcBorders>
            <w:shd w:val="clear" w:color="000000" w:fill="D9D9D9"/>
            <w:noWrap/>
            <w:vAlign w:val="center"/>
          </w:tcPr>
          <w:p w14:paraId="715D3C55" w14:textId="41146075"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62%</w:t>
            </w:r>
          </w:p>
        </w:tc>
        <w:tc>
          <w:tcPr>
            <w:tcW w:w="1980" w:type="dxa"/>
            <w:tcBorders>
              <w:top w:val="nil"/>
              <w:left w:val="nil"/>
              <w:bottom w:val="single" w:sz="8" w:space="0" w:color="auto"/>
              <w:right w:val="single" w:sz="8" w:space="0" w:color="auto"/>
            </w:tcBorders>
            <w:shd w:val="clear" w:color="000000" w:fill="D9D9D9"/>
            <w:noWrap/>
            <w:vAlign w:val="center"/>
          </w:tcPr>
          <w:p w14:paraId="20E06A4A" w14:textId="38AF1CC0"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7%</w:t>
            </w:r>
          </w:p>
        </w:tc>
        <w:tc>
          <w:tcPr>
            <w:tcW w:w="1799" w:type="dxa"/>
            <w:tcBorders>
              <w:top w:val="nil"/>
              <w:left w:val="nil"/>
              <w:bottom w:val="single" w:sz="8" w:space="0" w:color="auto"/>
              <w:right w:val="single" w:sz="8" w:space="0" w:color="auto"/>
            </w:tcBorders>
            <w:shd w:val="clear" w:color="000000" w:fill="D9D9D9"/>
            <w:noWrap/>
            <w:vAlign w:val="center"/>
          </w:tcPr>
          <w:p w14:paraId="5C5A5174" w14:textId="51141369"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55%</w:t>
            </w:r>
          </w:p>
        </w:tc>
        <w:tc>
          <w:tcPr>
            <w:tcW w:w="744" w:type="dxa"/>
            <w:tcBorders>
              <w:top w:val="nil"/>
              <w:left w:val="nil"/>
              <w:bottom w:val="single" w:sz="8" w:space="0" w:color="auto"/>
              <w:right w:val="single" w:sz="8" w:space="0" w:color="auto"/>
            </w:tcBorders>
            <w:shd w:val="clear" w:color="000000" w:fill="D9D9D9"/>
            <w:noWrap/>
            <w:vAlign w:val="center"/>
            <w:hideMark/>
          </w:tcPr>
          <w:p w14:paraId="0FF3AE4E" w14:textId="5B40186C" w:rsidR="001D516E" w:rsidRPr="000F3FE0" w:rsidRDefault="001D516E" w:rsidP="001D516E">
            <w:pPr>
              <w:jc w:val="center"/>
              <w:rPr>
                <w:rFonts w:cstheme="minorHAnsi"/>
                <w:sz w:val="20"/>
                <w:szCs w:val="20"/>
                <w:highlight w:val="yellow"/>
              </w:rPr>
            </w:pPr>
            <w:r w:rsidRPr="005F4476">
              <w:rPr>
                <w:color w:val="000000"/>
                <w:sz w:val="20"/>
                <w:szCs w:val="20"/>
              </w:rPr>
              <w:t> </w:t>
            </w:r>
          </w:p>
        </w:tc>
      </w:tr>
    </w:tbl>
    <w:p w14:paraId="4D94FF18" w14:textId="77777777" w:rsidR="00B97E41" w:rsidRDefault="00B97E41" w:rsidP="005D27F2">
      <w:pPr>
        <w:spacing w:after="160"/>
        <w:rPr>
          <w:b/>
        </w:rPr>
      </w:pPr>
    </w:p>
    <w:p w14:paraId="76FEDEE5" w14:textId="35385801" w:rsidR="00B408AC" w:rsidRPr="003C3C6D" w:rsidRDefault="00B408AC" w:rsidP="00B408AC">
      <w:pPr>
        <w:rPr>
          <w:b/>
        </w:rPr>
      </w:pPr>
      <w:r w:rsidRPr="003C3C6D">
        <w:rPr>
          <w:b/>
        </w:rPr>
        <w:t>T</w:t>
      </w:r>
      <w:r>
        <w:rPr>
          <w:b/>
        </w:rPr>
        <w:t>able</w:t>
      </w:r>
      <w:r w:rsidRPr="003C3C6D">
        <w:rPr>
          <w:b/>
        </w:rPr>
        <w:t xml:space="preserve"> </w:t>
      </w:r>
      <w:r>
        <w:rPr>
          <w:b/>
        </w:rPr>
        <w:t>2.</w:t>
      </w:r>
      <w:r w:rsidRPr="003C3C6D">
        <w:rPr>
          <w:b/>
        </w:rPr>
        <w:t xml:space="preserve"> Summary of Critical Habitat Effects Determinations for </w:t>
      </w:r>
      <w:r>
        <w:rPr>
          <w:b/>
        </w:rPr>
        <w:t>Simazine</w:t>
      </w:r>
      <w:r w:rsidRPr="003C3C6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8"/>
        <w:gridCol w:w="947"/>
        <w:gridCol w:w="2230"/>
        <w:gridCol w:w="2113"/>
        <w:gridCol w:w="974"/>
      </w:tblGrid>
      <w:tr w:rsidR="00B408AC" w:rsidRPr="000F3FE0" w14:paraId="797B2E54" w14:textId="77777777" w:rsidTr="001D516E">
        <w:trPr>
          <w:trHeight w:val="288"/>
        </w:trPr>
        <w:tc>
          <w:tcPr>
            <w:tcW w:w="1646" w:type="dxa"/>
            <w:vMerge w:val="restart"/>
            <w:shd w:val="clear" w:color="auto" w:fill="D9D9D9" w:themeFill="background1" w:themeFillShade="D9"/>
            <w:noWrap/>
            <w:vAlign w:val="center"/>
            <w:hideMark/>
          </w:tcPr>
          <w:p w14:paraId="2AB9FBD1" w14:textId="77777777" w:rsidR="00B408AC" w:rsidRPr="000F3FE0" w:rsidRDefault="00B408AC" w:rsidP="00EB21F7">
            <w:pPr>
              <w:jc w:val="center"/>
              <w:rPr>
                <w:rFonts w:cstheme="minorHAnsi"/>
                <w:b/>
                <w:sz w:val="20"/>
                <w:szCs w:val="20"/>
              </w:rPr>
            </w:pPr>
            <w:r w:rsidRPr="000F3FE0">
              <w:rPr>
                <w:rFonts w:cstheme="minorHAnsi"/>
                <w:b/>
                <w:sz w:val="20"/>
                <w:szCs w:val="20"/>
              </w:rPr>
              <w:t>Taxon</w:t>
            </w:r>
          </w:p>
        </w:tc>
        <w:tc>
          <w:tcPr>
            <w:tcW w:w="1965" w:type="dxa"/>
            <w:gridSpan w:val="2"/>
            <w:shd w:val="clear" w:color="auto" w:fill="D9D9D9" w:themeFill="background1" w:themeFillShade="D9"/>
            <w:vAlign w:val="center"/>
            <w:hideMark/>
          </w:tcPr>
          <w:p w14:paraId="3BFE47E2" w14:textId="77777777" w:rsidR="00B408AC" w:rsidRPr="000F3FE0" w:rsidRDefault="00B408AC" w:rsidP="00EB21F7">
            <w:pPr>
              <w:jc w:val="center"/>
              <w:rPr>
                <w:rFonts w:cstheme="minorHAnsi"/>
                <w:b/>
                <w:sz w:val="20"/>
                <w:szCs w:val="20"/>
              </w:rPr>
            </w:pPr>
            <w:r w:rsidRPr="000F3FE0">
              <w:rPr>
                <w:rFonts w:cstheme="minorHAnsi"/>
                <w:b/>
                <w:sz w:val="20"/>
                <w:szCs w:val="20"/>
              </w:rPr>
              <w:t>Step 1 Effects Determinations</w:t>
            </w:r>
          </w:p>
        </w:tc>
        <w:tc>
          <w:tcPr>
            <w:tcW w:w="4343" w:type="dxa"/>
            <w:gridSpan w:val="2"/>
            <w:shd w:val="clear" w:color="auto" w:fill="D9D9D9" w:themeFill="background1" w:themeFillShade="D9"/>
            <w:noWrap/>
            <w:vAlign w:val="center"/>
            <w:hideMark/>
          </w:tcPr>
          <w:p w14:paraId="25188378" w14:textId="77777777" w:rsidR="00B408AC" w:rsidRPr="000F3FE0" w:rsidRDefault="00B408AC" w:rsidP="00EB21F7">
            <w:pPr>
              <w:jc w:val="center"/>
              <w:rPr>
                <w:rFonts w:cstheme="minorHAnsi"/>
                <w:b/>
                <w:sz w:val="20"/>
                <w:szCs w:val="20"/>
              </w:rPr>
            </w:pPr>
            <w:r w:rsidRPr="000F3FE0">
              <w:rPr>
                <w:rFonts w:cstheme="minorHAnsi"/>
                <w:b/>
                <w:sz w:val="20"/>
                <w:szCs w:val="20"/>
              </w:rPr>
              <w:t>Step 2 Effects Determinations</w:t>
            </w:r>
          </w:p>
        </w:tc>
        <w:tc>
          <w:tcPr>
            <w:tcW w:w="974" w:type="dxa"/>
            <w:vMerge w:val="restart"/>
            <w:shd w:val="clear" w:color="auto" w:fill="D9D9D9" w:themeFill="background1" w:themeFillShade="D9"/>
            <w:noWrap/>
            <w:vAlign w:val="center"/>
            <w:hideMark/>
          </w:tcPr>
          <w:p w14:paraId="38784851" w14:textId="77777777" w:rsidR="00B408AC" w:rsidRPr="000F3FE0" w:rsidRDefault="00B408AC" w:rsidP="00EB21F7">
            <w:pPr>
              <w:jc w:val="center"/>
              <w:rPr>
                <w:rFonts w:cstheme="minorHAnsi"/>
                <w:b/>
                <w:sz w:val="20"/>
                <w:szCs w:val="20"/>
              </w:rPr>
            </w:pPr>
            <w:r w:rsidRPr="000F3FE0">
              <w:rPr>
                <w:rFonts w:cstheme="minorHAnsi"/>
                <w:b/>
                <w:sz w:val="20"/>
                <w:szCs w:val="20"/>
              </w:rPr>
              <w:t>Totals</w:t>
            </w:r>
          </w:p>
        </w:tc>
      </w:tr>
      <w:tr w:rsidR="00B408AC" w:rsidRPr="000F3FE0" w14:paraId="1A593697" w14:textId="77777777" w:rsidTr="001D516E">
        <w:trPr>
          <w:trHeight w:val="288"/>
        </w:trPr>
        <w:tc>
          <w:tcPr>
            <w:tcW w:w="1646" w:type="dxa"/>
            <w:vMerge/>
            <w:shd w:val="clear" w:color="auto" w:fill="D9D9D9" w:themeFill="background1" w:themeFillShade="D9"/>
            <w:vAlign w:val="center"/>
            <w:hideMark/>
          </w:tcPr>
          <w:p w14:paraId="05AD43BB" w14:textId="77777777" w:rsidR="00B408AC" w:rsidRPr="000F3FE0" w:rsidRDefault="00B408AC" w:rsidP="00EB21F7">
            <w:pPr>
              <w:rPr>
                <w:rFonts w:cstheme="minorHAnsi"/>
                <w:b/>
                <w:sz w:val="20"/>
                <w:szCs w:val="20"/>
              </w:rPr>
            </w:pPr>
          </w:p>
        </w:tc>
        <w:tc>
          <w:tcPr>
            <w:tcW w:w="1018" w:type="dxa"/>
            <w:shd w:val="clear" w:color="auto" w:fill="D9D9D9" w:themeFill="background1" w:themeFillShade="D9"/>
            <w:vAlign w:val="center"/>
            <w:hideMark/>
          </w:tcPr>
          <w:p w14:paraId="630C101C" w14:textId="77777777" w:rsidR="00B408AC" w:rsidRPr="000F3FE0" w:rsidRDefault="00B408AC" w:rsidP="00EB21F7">
            <w:pPr>
              <w:jc w:val="center"/>
              <w:rPr>
                <w:rFonts w:cstheme="minorHAnsi"/>
                <w:b/>
                <w:sz w:val="20"/>
                <w:szCs w:val="20"/>
              </w:rPr>
            </w:pPr>
            <w:r w:rsidRPr="000F3FE0">
              <w:rPr>
                <w:rFonts w:cstheme="minorHAnsi"/>
                <w:b/>
                <w:sz w:val="20"/>
                <w:szCs w:val="20"/>
              </w:rPr>
              <w:t>No Effect</w:t>
            </w:r>
          </w:p>
        </w:tc>
        <w:tc>
          <w:tcPr>
            <w:tcW w:w="947" w:type="dxa"/>
            <w:shd w:val="clear" w:color="auto" w:fill="D9D9D9" w:themeFill="background1" w:themeFillShade="D9"/>
            <w:vAlign w:val="center"/>
            <w:hideMark/>
          </w:tcPr>
          <w:p w14:paraId="60D2DE55" w14:textId="77777777" w:rsidR="00B408AC" w:rsidRPr="000F3FE0" w:rsidRDefault="00B408AC" w:rsidP="00EB21F7">
            <w:pPr>
              <w:jc w:val="center"/>
              <w:rPr>
                <w:rFonts w:cstheme="minorHAnsi"/>
                <w:b/>
                <w:sz w:val="20"/>
                <w:szCs w:val="20"/>
              </w:rPr>
            </w:pPr>
            <w:r w:rsidRPr="000F3FE0">
              <w:rPr>
                <w:rFonts w:cstheme="minorHAnsi"/>
                <w:b/>
                <w:sz w:val="20"/>
                <w:szCs w:val="20"/>
              </w:rPr>
              <w:t>May Affect</w:t>
            </w:r>
          </w:p>
        </w:tc>
        <w:tc>
          <w:tcPr>
            <w:tcW w:w="2230" w:type="dxa"/>
            <w:shd w:val="clear" w:color="auto" w:fill="D9D9D9" w:themeFill="background1" w:themeFillShade="D9"/>
            <w:noWrap/>
            <w:vAlign w:val="center"/>
            <w:hideMark/>
          </w:tcPr>
          <w:p w14:paraId="14A84CC1" w14:textId="77777777" w:rsidR="00B408AC" w:rsidRPr="000F3FE0" w:rsidRDefault="00B408AC" w:rsidP="00EB21F7">
            <w:pPr>
              <w:jc w:val="center"/>
              <w:rPr>
                <w:rFonts w:cstheme="minorHAnsi"/>
                <w:b/>
                <w:sz w:val="20"/>
                <w:szCs w:val="20"/>
              </w:rPr>
            </w:pPr>
            <w:r w:rsidRPr="000F3FE0">
              <w:rPr>
                <w:rFonts w:cstheme="minorHAnsi"/>
                <w:b/>
                <w:sz w:val="20"/>
                <w:szCs w:val="20"/>
              </w:rPr>
              <w:t>Not Likely to Adversely Affect</w:t>
            </w:r>
          </w:p>
        </w:tc>
        <w:tc>
          <w:tcPr>
            <w:tcW w:w="2113" w:type="dxa"/>
            <w:shd w:val="clear" w:color="auto" w:fill="D9D9D9" w:themeFill="background1" w:themeFillShade="D9"/>
            <w:noWrap/>
            <w:vAlign w:val="center"/>
            <w:hideMark/>
          </w:tcPr>
          <w:p w14:paraId="179554D8" w14:textId="77777777" w:rsidR="00B408AC" w:rsidRPr="000F3FE0" w:rsidRDefault="00B408AC" w:rsidP="00EB21F7">
            <w:pPr>
              <w:jc w:val="center"/>
              <w:rPr>
                <w:rFonts w:cstheme="minorHAnsi"/>
                <w:b/>
                <w:sz w:val="20"/>
                <w:szCs w:val="20"/>
              </w:rPr>
            </w:pPr>
            <w:r w:rsidRPr="000F3FE0">
              <w:rPr>
                <w:rFonts w:cstheme="minorHAnsi"/>
                <w:b/>
                <w:sz w:val="20"/>
                <w:szCs w:val="20"/>
              </w:rPr>
              <w:t>Likely to Adversely Affect</w:t>
            </w:r>
          </w:p>
        </w:tc>
        <w:tc>
          <w:tcPr>
            <w:tcW w:w="974" w:type="dxa"/>
            <w:vMerge/>
            <w:vAlign w:val="center"/>
            <w:hideMark/>
          </w:tcPr>
          <w:p w14:paraId="56E495F2" w14:textId="77777777" w:rsidR="00B408AC" w:rsidRPr="000F3FE0" w:rsidRDefault="00B408AC" w:rsidP="00EB21F7">
            <w:pPr>
              <w:rPr>
                <w:rFonts w:cstheme="minorHAnsi"/>
                <w:b/>
                <w:sz w:val="20"/>
                <w:szCs w:val="20"/>
              </w:rPr>
            </w:pPr>
          </w:p>
        </w:tc>
      </w:tr>
      <w:tr w:rsidR="001D516E" w:rsidRPr="000F3FE0" w14:paraId="3E001567"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6B8FF1E1" w14:textId="6100C54D" w:rsidR="001D516E" w:rsidRPr="000F3FE0" w:rsidRDefault="001D516E" w:rsidP="001D516E">
            <w:pPr>
              <w:rPr>
                <w:rFonts w:cstheme="minorHAnsi"/>
                <w:sz w:val="20"/>
                <w:szCs w:val="20"/>
              </w:rPr>
            </w:pPr>
            <w:r w:rsidRPr="005F4476">
              <w:rPr>
                <w:rFonts w:ascii="Calibri" w:hAnsi="Calibri" w:cs="Calibri"/>
                <w:color w:val="000000"/>
                <w:sz w:val="20"/>
                <w:szCs w:val="20"/>
              </w:rPr>
              <w:t>Mammals</w:t>
            </w:r>
          </w:p>
        </w:tc>
        <w:tc>
          <w:tcPr>
            <w:tcW w:w="1018" w:type="dxa"/>
            <w:tcBorders>
              <w:top w:val="nil"/>
              <w:left w:val="nil"/>
              <w:bottom w:val="single" w:sz="8" w:space="0" w:color="auto"/>
              <w:right w:val="single" w:sz="8" w:space="0" w:color="auto"/>
            </w:tcBorders>
            <w:shd w:val="clear" w:color="auto" w:fill="auto"/>
            <w:vAlign w:val="center"/>
            <w:hideMark/>
          </w:tcPr>
          <w:p w14:paraId="0C3F3955" w14:textId="4A2CC58F" w:rsidR="001D516E" w:rsidRPr="000F3FE0" w:rsidRDefault="001D516E" w:rsidP="001D516E">
            <w:pPr>
              <w:jc w:val="center"/>
              <w:rPr>
                <w:rFonts w:cstheme="minorHAnsi"/>
                <w:sz w:val="20"/>
                <w:szCs w:val="20"/>
              </w:rPr>
            </w:pPr>
            <w:r w:rsidRPr="005F4476">
              <w:rPr>
                <w:rFonts w:ascii="Calibri" w:hAnsi="Calibri" w:cs="Calibri"/>
                <w:color w:val="000000"/>
                <w:sz w:val="20"/>
                <w:szCs w:val="20"/>
              </w:rPr>
              <w:t>6</w:t>
            </w:r>
          </w:p>
        </w:tc>
        <w:tc>
          <w:tcPr>
            <w:tcW w:w="947" w:type="dxa"/>
            <w:tcBorders>
              <w:top w:val="nil"/>
              <w:left w:val="nil"/>
              <w:bottom w:val="single" w:sz="8" w:space="0" w:color="auto"/>
              <w:right w:val="single" w:sz="8" w:space="0" w:color="auto"/>
            </w:tcBorders>
            <w:shd w:val="clear" w:color="auto" w:fill="auto"/>
            <w:vAlign w:val="center"/>
          </w:tcPr>
          <w:p w14:paraId="70871744" w14:textId="52C08F0E" w:rsidR="001D516E" w:rsidRPr="000F3FE0" w:rsidRDefault="001D516E" w:rsidP="001D516E">
            <w:pPr>
              <w:jc w:val="center"/>
              <w:rPr>
                <w:rFonts w:cstheme="minorHAnsi"/>
                <w:sz w:val="20"/>
                <w:szCs w:val="20"/>
              </w:rPr>
            </w:pPr>
            <w:r w:rsidRPr="005F4476">
              <w:rPr>
                <w:rFonts w:ascii="Calibri" w:hAnsi="Calibri" w:cs="Calibri"/>
                <w:color w:val="000000"/>
                <w:sz w:val="20"/>
                <w:szCs w:val="20"/>
              </w:rPr>
              <w:t>27</w:t>
            </w:r>
          </w:p>
        </w:tc>
        <w:tc>
          <w:tcPr>
            <w:tcW w:w="2230" w:type="dxa"/>
            <w:tcBorders>
              <w:top w:val="nil"/>
              <w:left w:val="nil"/>
              <w:bottom w:val="single" w:sz="8" w:space="0" w:color="auto"/>
              <w:right w:val="single" w:sz="8" w:space="0" w:color="auto"/>
            </w:tcBorders>
            <w:shd w:val="clear" w:color="auto" w:fill="auto"/>
            <w:noWrap/>
            <w:vAlign w:val="center"/>
            <w:hideMark/>
          </w:tcPr>
          <w:p w14:paraId="09947E0C" w14:textId="7B3C478B"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2113" w:type="dxa"/>
            <w:tcBorders>
              <w:top w:val="nil"/>
              <w:left w:val="nil"/>
              <w:bottom w:val="single" w:sz="8" w:space="0" w:color="auto"/>
              <w:right w:val="single" w:sz="8" w:space="0" w:color="auto"/>
            </w:tcBorders>
            <w:shd w:val="clear" w:color="auto" w:fill="auto"/>
            <w:noWrap/>
            <w:vAlign w:val="center"/>
            <w:hideMark/>
          </w:tcPr>
          <w:p w14:paraId="20B44D08" w14:textId="358C0017"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3FFBE800" w14:textId="3E8DB5DE" w:rsidR="001D516E" w:rsidRPr="000F3FE0" w:rsidRDefault="001D516E" w:rsidP="001D516E">
            <w:pPr>
              <w:jc w:val="center"/>
              <w:rPr>
                <w:rFonts w:cstheme="minorHAnsi"/>
                <w:sz w:val="20"/>
                <w:szCs w:val="20"/>
              </w:rPr>
            </w:pPr>
            <w:r w:rsidRPr="005F4476">
              <w:rPr>
                <w:rFonts w:ascii="Calibri" w:hAnsi="Calibri" w:cs="Calibri"/>
                <w:color w:val="000000"/>
                <w:sz w:val="20"/>
                <w:szCs w:val="20"/>
              </w:rPr>
              <w:t>33</w:t>
            </w:r>
          </w:p>
        </w:tc>
      </w:tr>
      <w:tr w:rsidR="001D516E" w:rsidRPr="000F3FE0" w14:paraId="170095B4"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441DC3F" w14:textId="19A5F6AE" w:rsidR="001D516E" w:rsidRPr="000F3FE0" w:rsidRDefault="001D516E" w:rsidP="001D516E">
            <w:pPr>
              <w:rPr>
                <w:rFonts w:cstheme="minorHAnsi"/>
                <w:sz w:val="20"/>
                <w:szCs w:val="20"/>
              </w:rPr>
            </w:pPr>
            <w:r w:rsidRPr="005F4476">
              <w:rPr>
                <w:rFonts w:ascii="Calibri" w:hAnsi="Calibri" w:cs="Calibri"/>
                <w:color w:val="000000"/>
                <w:sz w:val="20"/>
                <w:szCs w:val="20"/>
              </w:rPr>
              <w:t>Birds</w:t>
            </w:r>
          </w:p>
        </w:tc>
        <w:tc>
          <w:tcPr>
            <w:tcW w:w="1018" w:type="dxa"/>
            <w:tcBorders>
              <w:top w:val="nil"/>
              <w:left w:val="nil"/>
              <w:bottom w:val="single" w:sz="8" w:space="0" w:color="auto"/>
              <w:right w:val="single" w:sz="8" w:space="0" w:color="auto"/>
            </w:tcBorders>
            <w:shd w:val="clear" w:color="auto" w:fill="auto"/>
            <w:vAlign w:val="center"/>
            <w:hideMark/>
          </w:tcPr>
          <w:p w14:paraId="0DAB2FD6" w14:textId="703C46B3" w:rsidR="001D516E" w:rsidRPr="000F3FE0" w:rsidRDefault="001D516E" w:rsidP="001D516E">
            <w:pPr>
              <w:jc w:val="center"/>
              <w:rPr>
                <w:rFonts w:cstheme="minorHAnsi"/>
                <w:sz w:val="20"/>
                <w:szCs w:val="20"/>
              </w:rPr>
            </w:pPr>
            <w:r w:rsidRPr="005F4476">
              <w:rPr>
                <w:rFonts w:ascii="Calibri" w:hAnsi="Calibri" w:cs="Calibri"/>
                <w:color w:val="000000"/>
                <w:sz w:val="20"/>
                <w:szCs w:val="20"/>
              </w:rPr>
              <w:t>14</w:t>
            </w:r>
          </w:p>
        </w:tc>
        <w:tc>
          <w:tcPr>
            <w:tcW w:w="947" w:type="dxa"/>
            <w:tcBorders>
              <w:top w:val="nil"/>
              <w:left w:val="nil"/>
              <w:bottom w:val="single" w:sz="8" w:space="0" w:color="auto"/>
              <w:right w:val="single" w:sz="8" w:space="0" w:color="auto"/>
            </w:tcBorders>
            <w:shd w:val="clear" w:color="auto" w:fill="auto"/>
            <w:vAlign w:val="center"/>
          </w:tcPr>
          <w:p w14:paraId="7B56DB23" w14:textId="36EF5380" w:rsidR="001D516E" w:rsidRPr="000F3FE0" w:rsidRDefault="001D516E" w:rsidP="001D516E">
            <w:pPr>
              <w:jc w:val="center"/>
              <w:rPr>
                <w:rFonts w:cstheme="minorHAnsi"/>
                <w:sz w:val="20"/>
                <w:szCs w:val="20"/>
              </w:rPr>
            </w:pPr>
            <w:r w:rsidRPr="005F4476">
              <w:rPr>
                <w:rFonts w:ascii="Calibri" w:hAnsi="Calibri" w:cs="Calibri"/>
                <w:color w:val="000000"/>
                <w:sz w:val="20"/>
                <w:szCs w:val="20"/>
              </w:rPr>
              <w:t>17</w:t>
            </w:r>
          </w:p>
        </w:tc>
        <w:tc>
          <w:tcPr>
            <w:tcW w:w="2230" w:type="dxa"/>
            <w:tcBorders>
              <w:top w:val="nil"/>
              <w:left w:val="nil"/>
              <w:bottom w:val="single" w:sz="8" w:space="0" w:color="auto"/>
              <w:right w:val="single" w:sz="8" w:space="0" w:color="auto"/>
            </w:tcBorders>
            <w:shd w:val="clear" w:color="auto" w:fill="auto"/>
            <w:noWrap/>
            <w:vAlign w:val="center"/>
            <w:hideMark/>
          </w:tcPr>
          <w:p w14:paraId="4E21C8F9" w14:textId="7458A294" w:rsidR="001D516E" w:rsidRPr="000F3FE0" w:rsidRDefault="001D516E" w:rsidP="001D516E">
            <w:pPr>
              <w:jc w:val="center"/>
              <w:rPr>
                <w:rFonts w:cstheme="minorHAnsi"/>
                <w:sz w:val="20"/>
                <w:szCs w:val="20"/>
              </w:rPr>
            </w:pPr>
            <w:r w:rsidRPr="005F4476">
              <w:rPr>
                <w:rFonts w:ascii="Calibri" w:hAnsi="Calibri" w:cs="Calibri"/>
                <w:color w:val="000000"/>
                <w:sz w:val="20"/>
                <w:szCs w:val="20"/>
              </w:rPr>
              <w:t>1</w:t>
            </w:r>
          </w:p>
        </w:tc>
        <w:tc>
          <w:tcPr>
            <w:tcW w:w="2113" w:type="dxa"/>
            <w:tcBorders>
              <w:top w:val="nil"/>
              <w:left w:val="nil"/>
              <w:bottom w:val="single" w:sz="8" w:space="0" w:color="auto"/>
              <w:right w:val="single" w:sz="8" w:space="0" w:color="auto"/>
            </w:tcBorders>
            <w:shd w:val="clear" w:color="auto" w:fill="auto"/>
            <w:noWrap/>
            <w:vAlign w:val="center"/>
            <w:hideMark/>
          </w:tcPr>
          <w:p w14:paraId="0127CAA8" w14:textId="5600F077" w:rsidR="001D516E" w:rsidRPr="000F3FE0" w:rsidRDefault="001D516E" w:rsidP="001D516E">
            <w:pPr>
              <w:jc w:val="center"/>
              <w:rPr>
                <w:rFonts w:cstheme="minorHAnsi"/>
                <w:sz w:val="20"/>
                <w:szCs w:val="20"/>
              </w:rPr>
            </w:pPr>
            <w:r w:rsidRPr="005F4476">
              <w:rPr>
                <w:rFonts w:ascii="Calibri" w:hAnsi="Calibri" w:cs="Calibr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tcPr>
          <w:p w14:paraId="6E964C78" w14:textId="4B5DA43C" w:rsidR="001D516E" w:rsidRPr="000F3FE0" w:rsidRDefault="001D516E" w:rsidP="001D516E">
            <w:pPr>
              <w:jc w:val="center"/>
              <w:rPr>
                <w:rFonts w:cstheme="minorHAnsi"/>
                <w:sz w:val="20"/>
                <w:szCs w:val="20"/>
              </w:rPr>
            </w:pPr>
            <w:r w:rsidRPr="005F4476">
              <w:rPr>
                <w:rFonts w:ascii="Calibri" w:hAnsi="Calibri" w:cs="Calibri"/>
                <w:color w:val="000000"/>
                <w:sz w:val="20"/>
                <w:szCs w:val="20"/>
              </w:rPr>
              <w:t>31</w:t>
            </w:r>
          </w:p>
        </w:tc>
      </w:tr>
      <w:tr w:rsidR="001D516E" w:rsidRPr="000F3FE0" w14:paraId="4DAE033C"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0C7BCE05" w14:textId="5D94BB7C" w:rsidR="001D516E" w:rsidRPr="000F3FE0" w:rsidRDefault="001D516E" w:rsidP="001D516E">
            <w:pPr>
              <w:rPr>
                <w:rFonts w:cstheme="minorHAnsi"/>
                <w:sz w:val="20"/>
                <w:szCs w:val="20"/>
              </w:rPr>
            </w:pPr>
            <w:r w:rsidRPr="005F4476">
              <w:rPr>
                <w:rFonts w:ascii="Calibri" w:hAnsi="Calibri" w:cs="Calibri"/>
                <w:color w:val="000000"/>
                <w:sz w:val="20"/>
                <w:szCs w:val="20"/>
              </w:rPr>
              <w:t>Amphibians</w:t>
            </w:r>
          </w:p>
        </w:tc>
        <w:tc>
          <w:tcPr>
            <w:tcW w:w="1018" w:type="dxa"/>
            <w:tcBorders>
              <w:top w:val="nil"/>
              <w:left w:val="nil"/>
              <w:bottom w:val="single" w:sz="8" w:space="0" w:color="auto"/>
              <w:right w:val="single" w:sz="8" w:space="0" w:color="auto"/>
            </w:tcBorders>
            <w:shd w:val="clear" w:color="auto" w:fill="auto"/>
            <w:vAlign w:val="center"/>
            <w:hideMark/>
          </w:tcPr>
          <w:p w14:paraId="049B4F11" w14:textId="6F2503B8" w:rsidR="001D516E" w:rsidRPr="000F3FE0" w:rsidRDefault="001D516E" w:rsidP="001D516E">
            <w:pPr>
              <w:jc w:val="center"/>
              <w:rPr>
                <w:rFonts w:cstheme="minorHAnsi"/>
                <w:sz w:val="20"/>
                <w:szCs w:val="20"/>
              </w:rPr>
            </w:pPr>
            <w:r w:rsidRPr="005F4476">
              <w:rPr>
                <w:rFonts w:ascii="Calibri" w:hAnsi="Calibri" w:cs="Calibri"/>
                <w:color w:val="000000"/>
                <w:sz w:val="20"/>
                <w:szCs w:val="20"/>
              </w:rPr>
              <w:t>3</w:t>
            </w:r>
          </w:p>
        </w:tc>
        <w:tc>
          <w:tcPr>
            <w:tcW w:w="947" w:type="dxa"/>
            <w:tcBorders>
              <w:top w:val="nil"/>
              <w:left w:val="nil"/>
              <w:bottom w:val="single" w:sz="8" w:space="0" w:color="auto"/>
              <w:right w:val="single" w:sz="8" w:space="0" w:color="auto"/>
            </w:tcBorders>
            <w:shd w:val="clear" w:color="auto" w:fill="auto"/>
            <w:vAlign w:val="center"/>
          </w:tcPr>
          <w:p w14:paraId="5534E9F5" w14:textId="4E60D418" w:rsidR="001D516E" w:rsidRPr="000F3FE0" w:rsidRDefault="001D516E" w:rsidP="001D516E">
            <w:pPr>
              <w:jc w:val="center"/>
              <w:rPr>
                <w:rFonts w:cstheme="minorHAnsi"/>
                <w:sz w:val="20"/>
                <w:szCs w:val="20"/>
              </w:rPr>
            </w:pPr>
            <w:r w:rsidRPr="005F4476">
              <w:rPr>
                <w:rFonts w:ascii="Calibri" w:hAnsi="Calibri" w:cs="Calibri"/>
                <w:color w:val="000000"/>
                <w:sz w:val="20"/>
                <w:szCs w:val="20"/>
              </w:rPr>
              <w:t>22</w:t>
            </w:r>
          </w:p>
        </w:tc>
        <w:tc>
          <w:tcPr>
            <w:tcW w:w="2230" w:type="dxa"/>
            <w:tcBorders>
              <w:top w:val="nil"/>
              <w:left w:val="nil"/>
              <w:bottom w:val="single" w:sz="8" w:space="0" w:color="auto"/>
              <w:right w:val="single" w:sz="8" w:space="0" w:color="auto"/>
            </w:tcBorders>
            <w:shd w:val="clear" w:color="auto" w:fill="auto"/>
            <w:noWrap/>
            <w:vAlign w:val="center"/>
            <w:hideMark/>
          </w:tcPr>
          <w:p w14:paraId="6A005157" w14:textId="159D4616" w:rsidR="001D516E" w:rsidRPr="000F3FE0" w:rsidRDefault="001D516E" w:rsidP="001D516E">
            <w:pPr>
              <w:jc w:val="center"/>
              <w:rPr>
                <w:rFonts w:cstheme="minorHAnsi"/>
                <w:sz w:val="20"/>
                <w:szCs w:val="20"/>
              </w:rPr>
            </w:pPr>
            <w:r w:rsidRPr="005F4476">
              <w:rPr>
                <w:rFonts w:ascii="Calibri" w:hAnsi="Calibri" w:cs="Calibri"/>
                <w:color w:val="000000"/>
                <w:sz w:val="20"/>
                <w:szCs w:val="20"/>
              </w:rPr>
              <w:t>2</w:t>
            </w:r>
          </w:p>
        </w:tc>
        <w:tc>
          <w:tcPr>
            <w:tcW w:w="2113" w:type="dxa"/>
            <w:tcBorders>
              <w:top w:val="nil"/>
              <w:left w:val="nil"/>
              <w:bottom w:val="single" w:sz="8" w:space="0" w:color="auto"/>
              <w:right w:val="single" w:sz="8" w:space="0" w:color="auto"/>
            </w:tcBorders>
            <w:shd w:val="clear" w:color="auto" w:fill="auto"/>
            <w:noWrap/>
            <w:vAlign w:val="center"/>
            <w:hideMark/>
          </w:tcPr>
          <w:p w14:paraId="293D61AE" w14:textId="2176494C" w:rsidR="001D516E" w:rsidRPr="000F3FE0" w:rsidRDefault="001D516E" w:rsidP="001D516E">
            <w:pPr>
              <w:jc w:val="center"/>
              <w:rPr>
                <w:rFonts w:cstheme="minorHAnsi"/>
                <w:sz w:val="20"/>
                <w:szCs w:val="20"/>
              </w:rPr>
            </w:pPr>
            <w:r w:rsidRPr="005F4476">
              <w:rPr>
                <w:rFonts w:ascii="Calibri" w:hAnsi="Calibri" w:cs="Calibri"/>
                <w:color w:val="000000"/>
                <w:sz w:val="20"/>
                <w:szCs w:val="20"/>
              </w:rPr>
              <w:t>20</w:t>
            </w:r>
          </w:p>
        </w:tc>
        <w:tc>
          <w:tcPr>
            <w:tcW w:w="974" w:type="dxa"/>
            <w:tcBorders>
              <w:top w:val="nil"/>
              <w:left w:val="nil"/>
              <w:bottom w:val="single" w:sz="8" w:space="0" w:color="auto"/>
              <w:right w:val="single" w:sz="8" w:space="0" w:color="auto"/>
            </w:tcBorders>
            <w:shd w:val="clear" w:color="auto" w:fill="auto"/>
            <w:noWrap/>
            <w:vAlign w:val="center"/>
          </w:tcPr>
          <w:p w14:paraId="32D91958" w14:textId="1C514C5E" w:rsidR="001D516E" w:rsidRPr="000F3FE0" w:rsidRDefault="001D516E" w:rsidP="001D516E">
            <w:pPr>
              <w:jc w:val="center"/>
              <w:rPr>
                <w:rFonts w:cstheme="minorHAnsi"/>
                <w:sz w:val="20"/>
                <w:szCs w:val="20"/>
              </w:rPr>
            </w:pPr>
            <w:r w:rsidRPr="005F4476">
              <w:rPr>
                <w:rFonts w:ascii="Calibri" w:hAnsi="Calibri" w:cs="Calibri"/>
                <w:color w:val="000000"/>
                <w:sz w:val="20"/>
                <w:szCs w:val="20"/>
              </w:rPr>
              <w:t>25</w:t>
            </w:r>
          </w:p>
        </w:tc>
      </w:tr>
      <w:tr w:rsidR="001D516E" w:rsidRPr="000F3FE0" w14:paraId="1CB201B0"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7BEEC77" w14:textId="630DF824" w:rsidR="001D516E" w:rsidRPr="000F3FE0" w:rsidRDefault="001D516E" w:rsidP="001D516E">
            <w:pPr>
              <w:rPr>
                <w:rFonts w:cstheme="minorHAnsi"/>
                <w:sz w:val="20"/>
                <w:szCs w:val="20"/>
              </w:rPr>
            </w:pPr>
            <w:r w:rsidRPr="005F4476">
              <w:rPr>
                <w:rFonts w:ascii="Calibri" w:hAnsi="Calibri" w:cs="Calibri"/>
                <w:color w:val="000000"/>
                <w:sz w:val="20"/>
                <w:szCs w:val="20"/>
              </w:rPr>
              <w:t>Reptiles</w:t>
            </w:r>
          </w:p>
        </w:tc>
        <w:tc>
          <w:tcPr>
            <w:tcW w:w="1018" w:type="dxa"/>
            <w:tcBorders>
              <w:top w:val="nil"/>
              <w:left w:val="nil"/>
              <w:bottom w:val="single" w:sz="8" w:space="0" w:color="auto"/>
              <w:right w:val="single" w:sz="8" w:space="0" w:color="auto"/>
            </w:tcBorders>
            <w:shd w:val="clear" w:color="auto" w:fill="auto"/>
            <w:vAlign w:val="center"/>
            <w:hideMark/>
          </w:tcPr>
          <w:p w14:paraId="628258A3" w14:textId="44CC3EC4"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947" w:type="dxa"/>
            <w:tcBorders>
              <w:top w:val="nil"/>
              <w:left w:val="nil"/>
              <w:bottom w:val="single" w:sz="8" w:space="0" w:color="auto"/>
              <w:right w:val="single" w:sz="8" w:space="0" w:color="auto"/>
            </w:tcBorders>
            <w:shd w:val="clear" w:color="auto" w:fill="auto"/>
            <w:vAlign w:val="center"/>
          </w:tcPr>
          <w:p w14:paraId="3D8F4307" w14:textId="4EA4932B"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2230" w:type="dxa"/>
            <w:tcBorders>
              <w:top w:val="nil"/>
              <w:left w:val="nil"/>
              <w:bottom w:val="single" w:sz="8" w:space="0" w:color="auto"/>
              <w:right w:val="single" w:sz="8" w:space="0" w:color="auto"/>
            </w:tcBorders>
            <w:shd w:val="clear" w:color="auto" w:fill="auto"/>
            <w:noWrap/>
            <w:vAlign w:val="center"/>
            <w:hideMark/>
          </w:tcPr>
          <w:p w14:paraId="3C0B26E7" w14:textId="399CBA93" w:rsidR="001D516E" w:rsidRPr="000F3FE0" w:rsidRDefault="001D516E" w:rsidP="001D516E">
            <w:pPr>
              <w:jc w:val="center"/>
              <w:rPr>
                <w:rFonts w:cstheme="minorHAnsi"/>
                <w:sz w:val="20"/>
                <w:szCs w:val="20"/>
              </w:rPr>
            </w:pPr>
            <w:r w:rsidRPr="005F4476">
              <w:rPr>
                <w:rFonts w:ascii="Calibri" w:hAnsi="Calibri" w:cs="Calibri"/>
                <w:color w:val="000000"/>
                <w:sz w:val="20"/>
                <w:szCs w:val="20"/>
              </w:rPr>
              <w:t>2</w:t>
            </w:r>
          </w:p>
        </w:tc>
        <w:tc>
          <w:tcPr>
            <w:tcW w:w="2113" w:type="dxa"/>
            <w:tcBorders>
              <w:top w:val="nil"/>
              <w:left w:val="nil"/>
              <w:bottom w:val="single" w:sz="8" w:space="0" w:color="auto"/>
              <w:right w:val="single" w:sz="8" w:space="0" w:color="auto"/>
            </w:tcBorders>
            <w:shd w:val="clear" w:color="auto" w:fill="auto"/>
            <w:noWrap/>
            <w:vAlign w:val="center"/>
            <w:hideMark/>
          </w:tcPr>
          <w:p w14:paraId="12E05113" w14:textId="5D4E0EC3" w:rsidR="001D516E" w:rsidRPr="000F3FE0" w:rsidRDefault="001D516E" w:rsidP="001D516E">
            <w:pPr>
              <w:jc w:val="center"/>
              <w:rPr>
                <w:rFonts w:cstheme="minorHAnsi"/>
                <w:sz w:val="20"/>
                <w:szCs w:val="20"/>
              </w:rPr>
            </w:pPr>
            <w:r w:rsidRPr="005F4476">
              <w:rPr>
                <w:rFonts w:ascii="Calibri" w:hAnsi="Calibri" w:cs="Calibri"/>
                <w:color w:val="000000"/>
                <w:sz w:val="20"/>
                <w:szCs w:val="20"/>
              </w:rPr>
              <w:t>6</w:t>
            </w:r>
          </w:p>
        </w:tc>
        <w:tc>
          <w:tcPr>
            <w:tcW w:w="974" w:type="dxa"/>
            <w:tcBorders>
              <w:top w:val="nil"/>
              <w:left w:val="nil"/>
              <w:bottom w:val="single" w:sz="8" w:space="0" w:color="auto"/>
              <w:right w:val="single" w:sz="8" w:space="0" w:color="auto"/>
            </w:tcBorders>
            <w:shd w:val="clear" w:color="auto" w:fill="auto"/>
            <w:noWrap/>
            <w:vAlign w:val="center"/>
          </w:tcPr>
          <w:p w14:paraId="4293019F" w14:textId="0CD16BDA" w:rsidR="001D516E" w:rsidRPr="000F3FE0" w:rsidRDefault="001D516E" w:rsidP="001D516E">
            <w:pPr>
              <w:jc w:val="center"/>
              <w:rPr>
                <w:rFonts w:cstheme="minorHAnsi"/>
                <w:sz w:val="20"/>
                <w:szCs w:val="20"/>
              </w:rPr>
            </w:pPr>
            <w:r w:rsidRPr="005F4476">
              <w:rPr>
                <w:rFonts w:ascii="Calibri" w:hAnsi="Calibri" w:cs="Calibri"/>
                <w:color w:val="000000"/>
                <w:sz w:val="20"/>
                <w:szCs w:val="20"/>
              </w:rPr>
              <w:t>16</w:t>
            </w:r>
          </w:p>
        </w:tc>
      </w:tr>
      <w:tr w:rsidR="001D516E" w:rsidRPr="000F3FE0" w14:paraId="49152F21"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73F77701" w14:textId="38BF789F" w:rsidR="001D516E" w:rsidRPr="000F3FE0" w:rsidRDefault="001D516E" w:rsidP="001D516E">
            <w:pPr>
              <w:rPr>
                <w:rFonts w:cstheme="minorHAnsi"/>
                <w:sz w:val="20"/>
                <w:szCs w:val="20"/>
              </w:rPr>
            </w:pPr>
            <w:r w:rsidRPr="005F4476">
              <w:rPr>
                <w:rFonts w:ascii="Calibri" w:hAnsi="Calibri" w:cs="Calibri"/>
                <w:color w:val="000000"/>
                <w:sz w:val="20"/>
                <w:szCs w:val="20"/>
              </w:rPr>
              <w:t>Fish</w:t>
            </w:r>
          </w:p>
        </w:tc>
        <w:tc>
          <w:tcPr>
            <w:tcW w:w="1018" w:type="dxa"/>
            <w:tcBorders>
              <w:top w:val="nil"/>
              <w:left w:val="nil"/>
              <w:bottom w:val="single" w:sz="8" w:space="0" w:color="auto"/>
              <w:right w:val="single" w:sz="8" w:space="0" w:color="auto"/>
            </w:tcBorders>
            <w:shd w:val="clear" w:color="auto" w:fill="auto"/>
            <w:vAlign w:val="center"/>
            <w:hideMark/>
          </w:tcPr>
          <w:p w14:paraId="779D58CC" w14:textId="5A7C7D57"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6A6478A0" w14:textId="058B9D11" w:rsidR="001D516E" w:rsidRPr="000F3FE0" w:rsidRDefault="001D516E" w:rsidP="001D516E">
            <w:pPr>
              <w:jc w:val="center"/>
              <w:rPr>
                <w:rFonts w:cstheme="minorHAnsi"/>
                <w:sz w:val="20"/>
                <w:szCs w:val="20"/>
              </w:rPr>
            </w:pPr>
            <w:r w:rsidRPr="005F4476">
              <w:rPr>
                <w:rFonts w:ascii="Calibri" w:hAnsi="Calibri" w:cs="Calibri"/>
                <w:color w:val="000000"/>
                <w:sz w:val="20"/>
                <w:szCs w:val="20"/>
              </w:rPr>
              <w:t>103</w:t>
            </w:r>
          </w:p>
        </w:tc>
        <w:tc>
          <w:tcPr>
            <w:tcW w:w="2230" w:type="dxa"/>
            <w:tcBorders>
              <w:top w:val="nil"/>
              <w:left w:val="nil"/>
              <w:bottom w:val="single" w:sz="8" w:space="0" w:color="auto"/>
              <w:right w:val="single" w:sz="8" w:space="0" w:color="auto"/>
            </w:tcBorders>
            <w:shd w:val="clear" w:color="auto" w:fill="auto"/>
            <w:noWrap/>
            <w:vAlign w:val="center"/>
            <w:hideMark/>
          </w:tcPr>
          <w:p w14:paraId="2B748F55" w14:textId="45E6E571" w:rsidR="001D516E" w:rsidRPr="000F3FE0" w:rsidRDefault="001D516E" w:rsidP="001D516E">
            <w:pPr>
              <w:jc w:val="center"/>
              <w:rPr>
                <w:rFonts w:cstheme="minorHAnsi"/>
                <w:sz w:val="20"/>
                <w:szCs w:val="20"/>
              </w:rPr>
            </w:pPr>
            <w:r w:rsidRPr="005F4476">
              <w:rPr>
                <w:rFonts w:ascii="Calibri" w:hAnsi="Calibri" w:cs="Calibri"/>
                <w:color w:val="000000"/>
                <w:sz w:val="20"/>
                <w:szCs w:val="20"/>
              </w:rPr>
              <w:t>12</w:t>
            </w:r>
          </w:p>
        </w:tc>
        <w:tc>
          <w:tcPr>
            <w:tcW w:w="2113" w:type="dxa"/>
            <w:tcBorders>
              <w:top w:val="nil"/>
              <w:left w:val="nil"/>
              <w:bottom w:val="single" w:sz="8" w:space="0" w:color="auto"/>
              <w:right w:val="single" w:sz="8" w:space="0" w:color="auto"/>
            </w:tcBorders>
            <w:shd w:val="clear" w:color="auto" w:fill="auto"/>
            <w:noWrap/>
            <w:vAlign w:val="center"/>
            <w:hideMark/>
          </w:tcPr>
          <w:p w14:paraId="31AB775D" w14:textId="1300490A" w:rsidR="001D516E" w:rsidRPr="000F3FE0" w:rsidRDefault="001D516E" w:rsidP="001D516E">
            <w:pPr>
              <w:jc w:val="center"/>
              <w:rPr>
                <w:rFonts w:cstheme="minorHAnsi"/>
                <w:sz w:val="20"/>
                <w:szCs w:val="20"/>
              </w:rPr>
            </w:pPr>
            <w:r w:rsidRPr="005F4476">
              <w:rPr>
                <w:rFonts w:ascii="Calibri" w:hAnsi="Calibri" w:cs="Calibri"/>
                <w:color w:val="000000"/>
                <w:sz w:val="20"/>
                <w:szCs w:val="20"/>
              </w:rPr>
              <w:t>91</w:t>
            </w:r>
          </w:p>
        </w:tc>
        <w:tc>
          <w:tcPr>
            <w:tcW w:w="974" w:type="dxa"/>
            <w:tcBorders>
              <w:top w:val="nil"/>
              <w:left w:val="nil"/>
              <w:bottom w:val="single" w:sz="8" w:space="0" w:color="auto"/>
              <w:right w:val="single" w:sz="8" w:space="0" w:color="auto"/>
            </w:tcBorders>
            <w:shd w:val="clear" w:color="auto" w:fill="auto"/>
            <w:noWrap/>
            <w:vAlign w:val="center"/>
          </w:tcPr>
          <w:p w14:paraId="1A0EE934" w14:textId="26033827" w:rsidR="001D516E" w:rsidRPr="000F3FE0" w:rsidRDefault="001D516E" w:rsidP="001D516E">
            <w:pPr>
              <w:jc w:val="center"/>
              <w:rPr>
                <w:rFonts w:cstheme="minorHAnsi"/>
                <w:sz w:val="20"/>
                <w:szCs w:val="20"/>
              </w:rPr>
            </w:pPr>
            <w:r w:rsidRPr="005F4476">
              <w:rPr>
                <w:rFonts w:ascii="Calibri" w:hAnsi="Calibri" w:cs="Calibri"/>
                <w:color w:val="000000"/>
                <w:sz w:val="20"/>
                <w:szCs w:val="20"/>
              </w:rPr>
              <w:t>107</w:t>
            </w:r>
          </w:p>
        </w:tc>
      </w:tr>
      <w:tr w:rsidR="001D516E" w:rsidRPr="000F3FE0" w14:paraId="2433230C"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4CBDEA84" w14:textId="34572C1D" w:rsidR="001D516E" w:rsidRPr="000F3FE0" w:rsidRDefault="001D516E" w:rsidP="001D516E">
            <w:pPr>
              <w:rPr>
                <w:rFonts w:cstheme="minorHAnsi"/>
                <w:sz w:val="20"/>
                <w:szCs w:val="20"/>
              </w:rPr>
            </w:pPr>
            <w:r w:rsidRPr="005F4476">
              <w:rPr>
                <w:rFonts w:ascii="Calibri" w:hAnsi="Calibri" w:cs="Calibri"/>
                <w:color w:val="000000"/>
                <w:sz w:val="20"/>
                <w:szCs w:val="20"/>
              </w:rPr>
              <w:t>Plants</w:t>
            </w:r>
          </w:p>
        </w:tc>
        <w:tc>
          <w:tcPr>
            <w:tcW w:w="1018" w:type="dxa"/>
            <w:tcBorders>
              <w:top w:val="nil"/>
              <w:left w:val="nil"/>
              <w:bottom w:val="single" w:sz="8" w:space="0" w:color="auto"/>
              <w:right w:val="single" w:sz="8" w:space="0" w:color="auto"/>
            </w:tcBorders>
            <w:shd w:val="clear" w:color="auto" w:fill="auto"/>
            <w:vAlign w:val="center"/>
            <w:hideMark/>
          </w:tcPr>
          <w:p w14:paraId="2CDAA884" w14:textId="41A9191B" w:rsidR="001D516E" w:rsidRPr="000F3FE0" w:rsidRDefault="001D516E" w:rsidP="001D516E">
            <w:pPr>
              <w:jc w:val="center"/>
              <w:rPr>
                <w:rFonts w:cstheme="minorHAnsi"/>
                <w:sz w:val="20"/>
                <w:szCs w:val="20"/>
              </w:rPr>
            </w:pPr>
            <w:r w:rsidRPr="005F4476">
              <w:rPr>
                <w:rFonts w:ascii="Calibri" w:hAnsi="Calibri" w:cs="Calibri"/>
                <w:color w:val="000000"/>
                <w:sz w:val="20"/>
                <w:szCs w:val="20"/>
              </w:rPr>
              <w:t>365</w:t>
            </w:r>
          </w:p>
        </w:tc>
        <w:tc>
          <w:tcPr>
            <w:tcW w:w="947" w:type="dxa"/>
            <w:tcBorders>
              <w:top w:val="nil"/>
              <w:left w:val="nil"/>
              <w:bottom w:val="single" w:sz="8" w:space="0" w:color="auto"/>
              <w:right w:val="single" w:sz="8" w:space="0" w:color="auto"/>
            </w:tcBorders>
            <w:shd w:val="clear" w:color="auto" w:fill="auto"/>
            <w:vAlign w:val="center"/>
          </w:tcPr>
          <w:p w14:paraId="5B7F8C45" w14:textId="7C8C5A7A" w:rsidR="001D516E" w:rsidRPr="000F3FE0" w:rsidRDefault="001D516E" w:rsidP="001D516E">
            <w:pPr>
              <w:jc w:val="center"/>
              <w:rPr>
                <w:rFonts w:cstheme="minorHAnsi"/>
                <w:sz w:val="20"/>
                <w:szCs w:val="20"/>
              </w:rPr>
            </w:pPr>
            <w:r w:rsidRPr="005F4476">
              <w:rPr>
                <w:rFonts w:ascii="Calibri" w:hAnsi="Calibri" w:cs="Calibri"/>
                <w:color w:val="000000"/>
                <w:sz w:val="20"/>
                <w:szCs w:val="20"/>
              </w:rPr>
              <w:t>95</w:t>
            </w:r>
          </w:p>
        </w:tc>
        <w:tc>
          <w:tcPr>
            <w:tcW w:w="2230" w:type="dxa"/>
            <w:tcBorders>
              <w:top w:val="nil"/>
              <w:left w:val="nil"/>
              <w:bottom w:val="single" w:sz="8" w:space="0" w:color="auto"/>
              <w:right w:val="single" w:sz="8" w:space="0" w:color="auto"/>
            </w:tcBorders>
            <w:shd w:val="clear" w:color="auto" w:fill="auto"/>
            <w:noWrap/>
            <w:vAlign w:val="center"/>
            <w:hideMark/>
          </w:tcPr>
          <w:p w14:paraId="4735155F" w14:textId="26FB4DA3" w:rsidR="001D516E" w:rsidRPr="000F3FE0" w:rsidRDefault="001D516E" w:rsidP="001D516E">
            <w:pPr>
              <w:jc w:val="center"/>
              <w:rPr>
                <w:rFonts w:cstheme="minorHAnsi"/>
                <w:sz w:val="20"/>
                <w:szCs w:val="20"/>
              </w:rPr>
            </w:pPr>
            <w:r w:rsidRPr="005F4476">
              <w:rPr>
                <w:rFonts w:ascii="Calibri" w:hAnsi="Calibri" w:cs="Calibri"/>
                <w:color w:val="000000"/>
                <w:sz w:val="20"/>
                <w:szCs w:val="20"/>
              </w:rPr>
              <w:t>7</w:t>
            </w:r>
          </w:p>
        </w:tc>
        <w:tc>
          <w:tcPr>
            <w:tcW w:w="2113" w:type="dxa"/>
            <w:tcBorders>
              <w:top w:val="nil"/>
              <w:left w:val="nil"/>
              <w:bottom w:val="single" w:sz="8" w:space="0" w:color="auto"/>
              <w:right w:val="single" w:sz="8" w:space="0" w:color="auto"/>
            </w:tcBorders>
            <w:shd w:val="clear" w:color="auto" w:fill="auto"/>
            <w:noWrap/>
            <w:vAlign w:val="center"/>
            <w:hideMark/>
          </w:tcPr>
          <w:p w14:paraId="5A81C357" w14:textId="1512D8DB" w:rsidR="001D516E" w:rsidRPr="000F3FE0" w:rsidRDefault="001D516E" w:rsidP="001D516E">
            <w:pPr>
              <w:jc w:val="center"/>
              <w:rPr>
                <w:rFonts w:cstheme="minorHAnsi"/>
                <w:sz w:val="20"/>
                <w:szCs w:val="20"/>
              </w:rPr>
            </w:pPr>
            <w:r w:rsidRPr="005F4476">
              <w:rPr>
                <w:rFonts w:ascii="Calibri" w:hAnsi="Calibri" w:cs="Calibri"/>
                <w:color w:val="000000"/>
                <w:sz w:val="20"/>
                <w:szCs w:val="20"/>
              </w:rPr>
              <w:t>88</w:t>
            </w:r>
          </w:p>
        </w:tc>
        <w:tc>
          <w:tcPr>
            <w:tcW w:w="974" w:type="dxa"/>
            <w:tcBorders>
              <w:top w:val="nil"/>
              <w:left w:val="nil"/>
              <w:bottom w:val="single" w:sz="8" w:space="0" w:color="auto"/>
              <w:right w:val="single" w:sz="8" w:space="0" w:color="auto"/>
            </w:tcBorders>
            <w:shd w:val="clear" w:color="auto" w:fill="auto"/>
            <w:noWrap/>
            <w:vAlign w:val="center"/>
          </w:tcPr>
          <w:p w14:paraId="3F2FB4AD" w14:textId="5D9B45C5" w:rsidR="001D516E" w:rsidRPr="000F3FE0" w:rsidRDefault="001D516E" w:rsidP="001D516E">
            <w:pPr>
              <w:jc w:val="center"/>
              <w:rPr>
                <w:rFonts w:cstheme="minorHAnsi"/>
                <w:sz w:val="20"/>
                <w:szCs w:val="20"/>
              </w:rPr>
            </w:pPr>
            <w:r w:rsidRPr="005F4476">
              <w:rPr>
                <w:rFonts w:ascii="Calibri" w:hAnsi="Calibri" w:cs="Calibri"/>
                <w:color w:val="000000"/>
                <w:sz w:val="20"/>
                <w:szCs w:val="20"/>
              </w:rPr>
              <w:t>460</w:t>
            </w:r>
          </w:p>
        </w:tc>
      </w:tr>
      <w:tr w:rsidR="001D516E" w:rsidRPr="000F3FE0" w14:paraId="3C1017B0"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8D440CD" w14:textId="63210D29" w:rsidR="001D516E" w:rsidRPr="000F3FE0" w:rsidRDefault="001D516E" w:rsidP="001D516E">
            <w:pPr>
              <w:rPr>
                <w:rFonts w:cstheme="minorHAnsi"/>
                <w:sz w:val="20"/>
                <w:szCs w:val="20"/>
              </w:rPr>
            </w:pPr>
            <w:r w:rsidRPr="005F4476">
              <w:rPr>
                <w:rFonts w:ascii="Calibri" w:hAnsi="Calibri" w:cs="Calibri"/>
                <w:color w:val="000000"/>
                <w:sz w:val="20"/>
                <w:szCs w:val="20"/>
              </w:rPr>
              <w:t>Aquatic Invertebrates</w:t>
            </w:r>
          </w:p>
        </w:tc>
        <w:tc>
          <w:tcPr>
            <w:tcW w:w="1018" w:type="dxa"/>
            <w:tcBorders>
              <w:top w:val="nil"/>
              <w:left w:val="nil"/>
              <w:bottom w:val="single" w:sz="8" w:space="0" w:color="auto"/>
              <w:right w:val="single" w:sz="8" w:space="0" w:color="auto"/>
            </w:tcBorders>
            <w:shd w:val="clear" w:color="auto" w:fill="auto"/>
            <w:vAlign w:val="center"/>
            <w:hideMark/>
          </w:tcPr>
          <w:p w14:paraId="61C6D036" w14:textId="36431FF0"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232E9C5C" w14:textId="022FDBB2" w:rsidR="001D516E" w:rsidRPr="000F3FE0" w:rsidRDefault="001D516E" w:rsidP="001D516E">
            <w:pPr>
              <w:jc w:val="center"/>
              <w:rPr>
                <w:rFonts w:cstheme="minorHAnsi"/>
                <w:sz w:val="20"/>
                <w:szCs w:val="20"/>
              </w:rPr>
            </w:pPr>
            <w:r w:rsidRPr="005F4476">
              <w:rPr>
                <w:rFonts w:ascii="Calibri" w:hAnsi="Calibri" w:cs="Calibri"/>
                <w:color w:val="000000"/>
                <w:sz w:val="20"/>
                <w:szCs w:val="20"/>
              </w:rPr>
              <w:t>67</w:t>
            </w:r>
          </w:p>
        </w:tc>
        <w:tc>
          <w:tcPr>
            <w:tcW w:w="2230" w:type="dxa"/>
            <w:tcBorders>
              <w:top w:val="nil"/>
              <w:left w:val="nil"/>
              <w:bottom w:val="single" w:sz="8" w:space="0" w:color="auto"/>
              <w:right w:val="single" w:sz="8" w:space="0" w:color="auto"/>
            </w:tcBorders>
            <w:shd w:val="clear" w:color="auto" w:fill="auto"/>
            <w:noWrap/>
            <w:vAlign w:val="center"/>
            <w:hideMark/>
          </w:tcPr>
          <w:p w14:paraId="4E3128BF" w14:textId="42BF5FCB"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2113" w:type="dxa"/>
            <w:tcBorders>
              <w:top w:val="nil"/>
              <w:left w:val="nil"/>
              <w:bottom w:val="single" w:sz="8" w:space="0" w:color="auto"/>
              <w:right w:val="single" w:sz="8" w:space="0" w:color="auto"/>
            </w:tcBorders>
            <w:shd w:val="clear" w:color="auto" w:fill="auto"/>
            <w:noWrap/>
            <w:vAlign w:val="center"/>
            <w:hideMark/>
          </w:tcPr>
          <w:p w14:paraId="4EF5117C" w14:textId="7A4F65BD" w:rsidR="001D516E" w:rsidRPr="000F3FE0" w:rsidRDefault="001D516E" w:rsidP="001D516E">
            <w:pPr>
              <w:jc w:val="center"/>
              <w:rPr>
                <w:rFonts w:cstheme="minorHAnsi"/>
                <w:sz w:val="20"/>
                <w:szCs w:val="20"/>
              </w:rPr>
            </w:pPr>
            <w:r w:rsidRPr="005F4476">
              <w:rPr>
                <w:rFonts w:ascii="Calibri" w:hAnsi="Calibri" w:cs="Calibri"/>
                <w:color w:val="000000"/>
                <w:sz w:val="20"/>
                <w:szCs w:val="20"/>
              </w:rPr>
              <w:t>57</w:t>
            </w:r>
          </w:p>
        </w:tc>
        <w:tc>
          <w:tcPr>
            <w:tcW w:w="974" w:type="dxa"/>
            <w:tcBorders>
              <w:top w:val="nil"/>
              <w:left w:val="nil"/>
              <w:bottom w:val="single" w:sz="8" w:space="0" w:color="auto"/>
              <w:right w:val="single" w:sz="8" w:space="0" w:color="auto"/>
            </w:tcBorders>
            <w:shd w:val="clear" w:color="auto" w:fill="auto"/>
            <w:noWrap/>
            <w:vAlign w:val="center"/>
          </w:tcPr>
          <w:p w14:paraId="2AACA3AE" w14:textId="1DCDD53E" w:rsidR="001D516E" w:rsidRPr="000F3FE0" w:rsidRDefault="001D516E" w:rsidP="001D516E">
            <w:pPr>
              <w:jc w:val="center"/>
              <w:rPr>
                <w:rFonts w:cstheme="minorHAnsi"/>
                <w:sz w:val="20"/>
                <w:szCs w:val="20"/>
              </w:rPr>
            </w:pPr>
            <w:r w:rsidRPr="005F4476">
              <w:rPr>
                <w:rFonts w:ascii="Calibri" w:hAnsi="Calibri" w:cs="Calibri"/>
                <w:color w:val="000000"/>
                <w:sz w:val="20"/>
                <w:szCs w:val="20"/>
              </w:rPr>
              <w:t>71</w:t>
            </w:r>
          </w:p>
        </w:tc>
      </w:tr>
      <w:tr w:rsidR="001D516E" w:rsidRPr="000F3FE0" w14:paraId="00150171"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0698DBC" w14:textId="7F2AE2B1" w:rsidR="001D516E" w:rsidRPr="000F3FE0" w:rsidRDefault="001D516E" w:rsidP="001D516E">
            <w:pPr>
              <w:rPr>
                <w:rFonts w:cstheme="minorHAnsi"/>
                <w:sz w:val="20"/>
                <w:szCs w:val="20"/>
              </w:rPr>
            </w:pPr>
            <w:r w:rsidRPr="005F4476">
              <w:rPr>
                <w:rFonts w:ascii="Calibri" w:hAnsi="Calibri" w:cs="Calibri"/>
                <w:color w:val="000000"/>
                <w:sz w:val="20"/>
                <w:szCs w:val="20"/>
              </w:rPr>
              <w:t>Terrestrial Invertebrates</w:t>
            </w:r>
          </w:p>
        </w:tc>
        <w:tc>
          <w:tcPr>
            <w:tcW w:w="1018" w:type="dxa"/>
            <w:tcBorders>
              <w:top w:val="nil"/>
              <w:left w:val="nil"/>
              <w:bottom w:val="single" w:sz="8" w:space="0" w:color="auto"/>
              <w:right w:val="single" w:sz="8" w:space="0" w:color="auto"/>
            </w:tcBorders>
            <w:shd w:val="clear" w:color="auto" w:fill="auto"/>
            <w:vAlign w:val="center"/>
            <w:hideMark/>
          </w:tcPr>
          <w:p w14:paraId="7C6F341E" w14:textId="763B82BA" w:rsidR="001D516E" w:rsidRPr="000F3FE0" w:rsidRDefault="001D516E" w:rsidP="001D516E">
            <w:pPr>
              <w:jc w:val="center"/>
              <w:rPr>
                <w:rFonts w:cstheme="minorHAnsi"/>
                <w:sz w:val="20"/>
                <w:szCs w:val="20"/>
              </w:rPr>
            </w:pPr>
            <w:r w:rsidRPr="005F4476">
              <w:rPr>
                <w:rFonts w:ascii="Calibri" w:hAnsi="Calibri" w:cs="Calibri"/>
                <w:color w:val="000000"/>
                <w:sz w:val="20"/>
                <w:szCs w:val="20"/>
              </w:rPr>
              <w:t>20</w:t>
            </w:r>
          </w:p>
        </w:tc>
        <w:tc>
          <w:tcPr>
            <w:tcW w:w="947" w:type="dxa"/>
            <w:tcBorders>
              <w:top w:val="nil"/>
              <w:left w:val="nil"/>
              <w:bottom w:val="single" w:sz="8" w:space="0" w:color="auto"/>
              <w:right w:val="single" w:sz="8" w:space="0" w:color="auto"/>
            </w:tcBorders>
            <w:shd w:val="clear" w:color="auto" w:fill="auto"/>
            <w:vAlign w:val="center"/>
          </w:tcPr>
          <w:p w14:paraId="512F6666" w14:textId="4B82F618" w:rsidR="001D516E" w:rsidRPr="000F3FE0" w:rsidRDefault="001D516E" w:rsidP="001D516E">
            <w:pPr>
              <w:jc w:val="center"/>
              <w:rPr>
                <w:rFonts w:cstheme="minorHAnsi"/>
                <w:sz w:val="20"/>
                <w:szCs w:val="20"/>
              </w:rPr>
            </w:pPr>
            <w:r w:rsidRPr="005F4476">
              <w:rPr>
                <w:rFonts w:ascii="Calibri" w:hAnsi="Calibri" w:cs="Calibri"/>
                <w:color w:val="000000"/>
                <w:sz w:val="20"/>
                <w:szCs w:val="20"/>
              </w:rPr>
              <w:t>29</w:t>
            </w:r>
          </w:p>
        </w:tc>
        <w:tc>
          <w:tcPr>
            <w:tcW w:w="2230" w:type="dxa"/>
            <w:tcBorders>
              <w:top w:val="nil"/>
              <w:left w:val="nil"/>
              <w:bottom w:val="single" w:sz="8" w:space="0" w:color="auto"/>
              <w:right w:val="single" w:sz="8" w:space="0" w:color="auto"/>
            </w:tcBorders>
            <w:shd w:val="clear" w:color="auto" w:fill="auto"/>
            <w:noWrap/>
            <w:vAlign w:val="center"/>
            <w:hideMark/>
          </w:tcPr>
          <w:p w14:paraId="22782881" w14:textId="63D4F6FE"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2113" w:type="dxa"/>
            <w:tcBorders>
              <w:top w:val="nil"/>
              <w:left w:val="nil"/>
              <w:bottom w:val="single" w:sz="8" w:space="0" w:color="auto"/>
              <w:right w:val="single" w:sz="8" w:space="0" w:color="auto"/>
            </w:tcBorders>
            <w:shd w:val="clear" w:color="auto" w:fill="auto"/>
            <w:noWrap/>
            <w:vAlign w:val="center"/>
            <w:hideMark/>
          </w:tcPr>
          <w:p w14:paraId="76B6A158" w14:textId="31C60AB5"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5758ADEB" w14:textId="261A77EE" w:rsidR="001D516E" w:rsidRPr="000F3FE0" w:rsidRDefault="001D516E" w:rsidP="001D516E">
            <w:pPr>
              <w:jc w:val="center"/>
              <w:rPr>
                <w:rFonts w:cstheme="minorHAnsi"/>
                <w:sz w:val="20"/>
                <w:szCs w:val="20"/>
              </w:rPr>
            </w:pPr>
            <w:r w:rsidRPr="005F4476">
              <w:rPr>
                <w:rFonts w:ascii="Calibri" w:hAnsi="Calibri" w:cs="Calibri"/>
                <w:color w:val="000000"/>
                <w:sz w:val="20"/>
                <w:szCs w:val="20"/>
              </w:rPr>
              <w:t>49</w:t>
            </w:r>
          </w:p>
        </w:tc>
      </w:tr>
      <w:tr w:rsidR="001D516E" w:rsidRPr="000F3FE0" w14:paraId="2C429128" w14:textId="77777777" w:rsidTr="001D516E">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40E50333" w14:textId="68F92C6C" w:rsidR="001D516E" w:rsidRPr="000F3FE0" w:rsidRDefault="001D516E" w:rsidP="001D516E">
            <w:pPr>
              <w:rPr>
                <w:rFonts w:cstheme="minorHAnsi"/>
                <w:sz w:val="20"/>
                <w:szCs w:val="20"/>
              </w:rPr>
            </w:pPr>
            <w:r w:rsidRPr="005F4476">
              <w:rPr>
                <w:rFonts w:ascii="Calibri" w:hAnsi="Calibri" w:cs="Calibri"/>
                <w:color w:val="000000"/>
                <w:sz w:val="20"/>
                <w:szCs w:val="20"/>
              </w:rPr>
              <w:t>Total</w:t>
            </w:r>
          </w:p>
        </w:tc>
        <w:tc>
          <w:tcPr>
            <w:tcW w:w="1018" w:type="dxa"/>
            <w:tcBorders>
              <w:top w:val="nil"/>
              <w:left w:val="nil"/>
              <w:bottom w:val="single" w:sz="8" w:space="0" w:color="auto"/>
              <w:right w:val="single" w:sz="8" w:space="0" w:color="auto"/>
            </w:tcBorders>
            <w:shd w:val="clear" w:color="000000" w:fill="D9D9D9"/>
            <w:vAlign w:val="center"/>
            <w:hideMark/>
          </w:tcPr>
          <w:p w14:paraId="2CB88961" w14:textId="7EE83852" w:rsidR="001D516E" w:rsidRPr="000F3FE0" w:rsidRDefault="001D516E" w:rsidP="001D516E">
            <w:pPr>
              <w:jc w:val="center"/>
              <w:rPr>
                <w:rFonts w:cstheme="minorHAnsi"/>
                <w:sz w:val="20"/>
                <w:szCs w:val="20"/>
              </w:rPr>
            </w:pPr>
            <w:r w:rsidRPr="005F4476">
              <w:rPr>
                <w:rFonts w:ascii="Calibri" w:hAnsi="Calibri" w:cs="Calibri"/>
                <w:color w:val="000000"/>
                <w:sz w:val="20"/>
                <w:szCs w:val="20"/>
              </w:rPr>
              <w:t>424</w:t>
            </w:r>
          </w:p>
        </w:tc>
        <w:tc>
          <w:tcPr>
            <w:tcW w:w="947" w:type="dxa"/>
            <w:tcBorders>
              <w:top w:val="nil"/>
              <w:left w:val="nil"/>
              <w:bottom w:val="single" w:sz="8" w:space="0" w:color="auto"/>
              <w:right w:val="single" w:sz="8" w:space="0" w:color="auto"/>
            </w:tcBorders>
            <w:shd w:val="clear" w:color="000000" w:fill="D9D9D9"/>
            <w:vAlign w:val="center"/>
            <w:hideMark/>
          </w:tcPr>
          <w:p w14:paraId="3E7B2B26" w14:textId="12A2167D" w:rsidR="001D516E" w:rsidRPr="000F3FE0" w:rsidRDefault="001D516E" w:rsidP="001D516E">
            <w:pPr>
              <w:jc w:val="center"/>
              <w:rPr>
                <w:rFonts w:cstheme="minorHAnsi"/>
                <w:sz w:val="20"/>
                <w:szCs w:val="20"/>
              </w:rPr>
            </w:pPr>
            <w:r w:rsidRPr="005F4476">
              <w:rPr>
                <w:rFonts w:ascii="Calibri" w:hAnsi="Calibri" w:cs="Calibri"/>
                <w:color w:val="000000"/>
                <w:sz w:val="20"/>
                <w:szCs w:val="20"/>
              </w:rPr>
              <w:t>368</w:t>
            </w:r>
          </w:p>
        </w:tc>
        <w:tc>
          <w:tcPr>
            <w:tcW w:w="2230" w:type="dxa"/>
            <w:tcBorders>
              <w:top w:val="nil"/>
              <w:left w:val="nil"/>
              <w:bottom w:val="single" w:sz="8" w:space="0" w:color="auto"/>
              <w:right w:val="single" w:sz="8" w:space="0" w:color="auto"/>
            </w:tcBorders>
            <w:shd w:val="clear" w:color="000000" w:fill="D9D9D9"/>
            <w:noWrap/>
            <w:vAlign w:val="center"/>
            <w:hideMark/>
          </w:tcPr>
          <w:p w14:paraId="163333A3" w14:textId="55E4ECD5" w:rsidR="001D516E" w:rsidRPr="000F3FE0" w:rsidRDefault="001D516E" w:rsidP="001D516E">
            <w:pPr>
              <w:jc w:val="center"/>
              <w:rPr>
                <w:rFonts w:cstheme="minorHAnsi"/>
                <w:sz w:val="20"/>
                <w:szCs w:val="20"/>
              </w:rPr>
            </w:pPr>
            <w:r w:rsidRPr="005F4476">
              <w:rPr>
                <w:rFonts w:ascii="Calibri" w:hAnsi="Calibri" w:cs="Calibri"/>
                <w:color w:val="000000"/>
                <w:sz w:val="20"/>
                <w:szCs w:val="20"/>
              </w:rPr>
              <w:t>52</w:t>
            </w:r>
          </w:p>
        </w:tc>
        <w:tc>
          <w:tcPr>
            <w:tcW w:w="2113" w:type="dxa"/>
            <w:tcBorders>
              <w:top w:val="nil"/>
              <w:left w:val="nil"/>
              <w:bottom w:val="single" w:sz="8" w:space="0" w:color="auto"/>
              <w:right w:val="single" w:sz="8" w:space="0" w:color="auto"/>
            </w:tcBorders>
            <w:shd w:val="clear" w:color="000000" w:fill="D9D9D9"/>
            <w:noWrap/>
            <w:vAlign w:val="center"/>
            <w:hideMark/>
          </w:tcPr>
          <w:p w14:paraId="4550BE18" w14:textId="29EE6C38" w:rsidR="001D516E" w:rsidRPr="000F3FE0" w:rsidRDefault="001D516E" w:rsidP="001D516E">
            <w:pPr>
              <w:jc w:val="center"/>
              <w:rPr>
                <w:rFonts w:cstheme="minorHAnsi"/>
                <w:sz w:val="20"/>
                <w:szCs w:val="20"/>
              </w:rPr>
            </w:pPr>
            <w:r w:rsidRPr="005F4476">
              <w:rPr>
                <w:rFonts w:ascii="Calibri" w:hAnsi="Calibri" w:cs="Calibri"/>
                <w:color w:val="000000"/>
                <w:sz w:val="20"/>
                <w:szCs w:val="20"/>
              </w:rPr>
              <w:t>316</w:t>
            </w:r>
          </w:p>
        </w:tc>
        <w:tc>
          <w:tcPr>
            <w:tcW w:w="974" w:type="dxa"/>
            <w:tcBorders>
              <w:top w:val="nil"/>
              <w:left w:val="nil"/>
              <w:bottom w:val="single" w:sz="8" w:space="0" w:color="auto"/>
              <w:right w:val="single" w:sz="8" w:space="0" w:color="auto"/>
            </w:tcBorders>
            <w:shd w:val="clear" w:color="000000" w:fill="D9D9D9"/>
            <w:noWrap/>
            <w:vAlign w:val="center"/>
            <w:hideMark/>
          </w:tcPr>
          <w:p w14:paraId="45997C4E" w14:textId="1D8F7E87" w:rsidR="001D516E" w:rsidRPr="000F3FE0" w:rsidRDefault="001D516E" w:rsidP="001D516E">
            <w:pPr>
              <w:jc w:val="center"/>
              <w:rPr>
                <w:rFonts w:cstheme="minorHAnsi"/>
                <w:sz w:val="20"/>
                <w:szCs w:val="20"/>
              </w:rPr>
            </w:pPr>
            <w:r w:rsidRPr="005F4476">
              <w:rPr>
                <w:rFonts w:ascii="Calibri" w:hAnsi="Calibri" w:cs="Calibri"/>
                <w:color w:val="000000"/>
                <w:sz w:val="20"/>
                <w:szCs w:val="20"/>
              </w:rPr>
              <w:t>792</w:t>
            </w:r>
          </w:p>
        </w:tc>
      </w:tr>
      <w:tr w:rsidR="001D516E" w:rsidRPr="000F3FE0" w14:paraId="2E242040" w14:textId="77777777" w:rsidTr="001D516E">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10C776B0" w14:textId="01A51DC9" w:rsidR="001D516E" w:rsidRPr="000F3FE0" w:rsidRDefault="001D516E" w:rsidP="001D516E">
            <w:pPr>
              <w:rPr>
                <w:rFonts w:cstheme="minorHAnsi"/>
                <w:sz w:val="20"/>
                <w:szCs w:val="20"/>
              </w:rPr>
            </w:pPr>
            <w:r w:rsidRPr="005F4476">
              <w:rPr>
                <w:rFonts w:ascii="Calibri" w:hAnsi="Calibri" w:cs="Calibri"/>
                <w:color w:val="000000"/>
                <w:sz w:val="20"/>
                <w:szCs w:val="20"/>
              </w:rPr>
              <w:t>Percent of total</w:t>
            </w:r>
          </w:p>
        </w:tc>
        <w:tc>
          <w:tcPr>
            <w:tcW w:w="1018" w:type="dxa"/>
            <w:tcBorders>
              <w:top w:val="nil"/>
              <w:left w:val="nil"/>
              <w:bottom w:val="single" w:sz="8" w:space="0" w:color="auto"/>
              <w:right w:val="single" w:sz="8" w:space="0" w:color="auto"/>
            </w:tcBorders>
            <w:shd w:val="clear" w:color="000000" w:fill="D9D9D9"/>
            <w:noWrap/>
            <w:vAlign w:val="center"/>
            <w:hideMark/>
          </w:tcPr>
          <w:p w14:paraId="4F20F888" w14:textId="27EFB3EF" w:rsidR="001D516E" w:rsidRPr="000F3FE0" w:rsidRDefault="001D516E" w:rsidP="001D516E">
            <w:pPr>
              <w:jc w:val="center"/>
              <w:rPr>
                <w:rFonts w:cstheme="minorHAnsi"/>
                <w:sz w:val="20"/>
                <w:szCs w:val="20"/>
              </w:rPr>
            </w:pPr>
            <w:r w:rsidRPr="005F4476">
              <w:rPr>
                <w:rFonts w:ascii="Calibri" w:hAnsi="Calibri" w:cs="Calibri"/>
                <w:color w:val="000000"/>
                <w:sz w:val="20"/>
                <w:szCs w:val="20"/>
              </w:rPr>
              <w:t>54%</w:t>
            </w:r>
          </w:p>
        </w:tc>
        <w:tc>
          <w:tcPr>
            <w:tcW w:w="947" w:type="dxa"/>
            <w:tcBorders>
              <w:top w:val="nil"/>
              <w:left w:val="nil"/>
              <w:bottom w:val="single" w:sz="8" w:space="0" w:color="auto"/>
              <w:right w:val="single" w:sz="8" w:space="0" w:color="auto"/>
            </w:tcBorders>
            <w:shd w:val="clear" w:color="000000" w:fill="D9D9D9"/>
            <w:noWrap/>
            <w:vAlign w:val="center"/>
            <w:hideMark/>
          </w:tcPr>
          <w:p w14:paraId="3EEB54E5" w14:textId="11B017DC" w:rsidR="001D516E" w:rsidRPr="000F3FE0" w:rsidRDefault="001D516E" w:rsidP="001D516E">
            <w:pPr>
              <w:jc w:val="center"/>
              <w:rPr>
                <w:rFonts w:cstheme="minorHAnsi"/>
                <w:sz w:val="20"/>
                <w:szCs w:val="20"/>
              </w:rPr>
            </w:pPr>
            <w:r w:rsidRPr="005F4476">
              <w:rPr>
                <w:rFonts w:ascii="Calibri" w:hAnsi="Calibri" w:cs="Calibri"/>
                <w:color w:val="000000"/>
                <w:sz w:val="20"/>
                <w:szCs w:val="20"/>
              </w:rPr>
              <w:t>46%</w:t>
            </w:r>
          </w:p>
        </w:tc>
        <w:tc>
          <w:tcPr>
            <w:tcW w:w="2230" w:type="dxa"/>
            <w:tcBorders>
              <w:top w:val="nil"/>
              <w:left w:val="nil"/>
              <w:bottom w:val="single" w:sz="8" w:space="0" w:color="auto"/>
              <w:right w:val="single" w:sz="8" w:space="0" w:color="auto"/>
            </w:tcBorders>
            <w:shd w:val="clear" w:color="000000" w:fill="D9D9D9"/>
            <w:noWrap/>
            <w:vAlign w:val="center"/>
            <w:hideMark/>
          </w:tcPr>
          <w:p w14:paraId="6524A6B6" w14:textId="4FD962A6" w:rsidR="001D516E" w:rsidRPr="000F3FE0" w:rsidRDefault="001D516E" w:rsidP="001D516E">
            <w:pPr>
              <w:jc w:val="center"/>
              <w:rPr>
                <w:rFonts w:cstheme="minorHAnsi"/>
                <w:sz w:val="20"/>
                <w:szCs w:val="20"/>
              </w:rPr>
            </w:pPr>
            <w:r w:rsidRPr="005F4476">
              <w:rPr>
                <w:rFonts w:ascii="Calibri" w:hAnsi="Calibri" w:cs="Calibri"/>
                <w:color w:val="000000"/>
                <w:sz w:val="20"/>
                <w:szCs w:val="20"/>
              </w:rPr>
              <w:t>7%</w:t>
            </w:r>
          </w:p>
        </w:tc>
        <w:tc>
          <w:tcPr>
            <w:tcW w:w="2113" w:type="dxa"/>
            <w:tcBorders>
              <w:top w:val="nil"/>
              <w:left w:val="nil"/>
              <w:bottom w:val="single" w:sz="8" w:space="0" w:color="auto"/>
              <w:right w:val="single" w:sz="8" w:space="0" w:color="auto"/>
            </w:tcBorders>
            <w:shd w:val="clear" w:color="000000" w:fill="D9D9D9"/>
            <w:noWrap/>
            <w:vAlign w:val="center"/>
            <w:hideMark/>
          </w:tcPr>
          <w:p w14:paraId="4A1C85EF" w14:textId="5E11C51F" w:rsidR="001D516E" w:rsidRPr="000F3FE0" w:rsidRDefault="001D516E" w:rsidP="001D516E">
            <w:pPr>
              <w:jc w:val="center"/>
              <w:rPr>
                <w:rFonts w:cstheme="minorHAnsi"/>
                <w:sz w:val="20"/>
                <w:szCs w:val="20"/>
              </w:rPr>
            </w:pPr>
            <w:r w:rsidRPr="005F4476">
              <w:rPr>
                <w:rFonts w:ascii="Calibri" w:hAnsi="Calibri" w:cs="Calibri"/>
                <w:color w:val="000000"/>
                <w:sz w:val="20"/>
                <w:szCs w:val="20"/>
              </w:rPr>
              <w:t>40%</w:t>
            </w:r>
          </w:p>
        </w:tc>
        <w:tc>
          <w:tcPr>
            <w:tcW w:w="974" w:type="dxa"/>
            <w:tcBorders>
              <w:top w:val="nil"/>
              <w:left w:val="nil"/>
              <w:bottom w:val="single" w:sz="8" w:space="0" w:color="auto"/>
              <w:right w:val="single" w:sz="8" w:space="0" w:color="auto"/>
            </w:tcBorders>
            <w:shd w:val="clear" w:color="000000" w:fill="D9D9D9"/>
            <w:noWrap/>
            <w:vAlign w:val="center"/>
            <w:hideMark/>
          </w:tcPr>
          <w:p w14:paraId="434AF84B" w14:textId="007F120B" w:rsidR="001D516E" w:rsidRPr="000F3FE0" w:rsidRDefault="001D516E" w:rsidP="001D516E">
            <w:pPr>
              <w:jc w:val="center"/>
              <w:rPr>
                <w:rFonts w:cstheme="minorHAnsi"/>
                <w:sz w:val="20"/>
                <w:szCs w:val="20"/>
              </w:rPr>
            </w:pPr>
            <w:r w:rsidRPr="005F4476">
              <w:rPr>
                <w:color w:val="000000"/>
                <w:sz w:val="20"/>
                <w:szCs w:val="20"/>
              </w:rPr>
              <w:t> </w:t>
            </w:r>
          </w:p>
        </w:tc>
      </w:tr>
    </w:tbl>
    <w:p w14:paraId="6E18ECC4" w14:textId="4AA5F3D2" w:rsidR="009A5892" w:rsidRDefault="009A5892" w:rsidP="00937150">
      <w:pPr>
        <w:rPr>
          <w:b/>
        </w:rPr>
      </w:pPr>
    </w:p>
    <w:p w14:paraId="5B878EA3" w14:textId="7A77EAC3" w:rsidR="005D27F2" w:rsidRDefault="005D27F2" w:rsidP="00937150">
      <w:pPr>
        <w:rPr>
          <w:b/>
        </w:rPr>
      </w:pPr>
    </w:p>
    <w:p w14:paraId="65763C17" w14:textId="03EC24F0" w:rsidR="005D27F2" w:rsidRDefault="005D27F2" w:rsidP="00937150">
      <w:pPr>
        <w:rPr>
          <w:b/>
        </w:rPr>
      </w:pPr>
    </w:p>
    <w:p w14:paraId="1551B1DA" w14:textId="7A20C78B" w:rsidR="005D27F2" w:rsidRDefault="005D27F2" w:rsidP="00937150">
      <w:pPr>
        <w:rPr>
          <w:b/>
        </w:rPr>
      </w:pPr>
    </w:p>
    <w:p w14:paraId="5694070C" w14:textId="77777777" w:rsidR="005D27F2" w:rsidRDefault="005D27F2" w:rsidP="00937150">
      <w:pPr>
        <w:rPr>
          <w:b/>
        </w:rPr>
      </w:pPr>
    </w:p>
    <w:p w14:paraId="55DD1A74" w14:textId="1FEDDA93" w:rsidR="00B408AC" w:rsidRDefault="00B408AC" w:rsidP="00B408AC">
      <w:pPr>
        <w:rPr>
          <w:noProof/>
          <w:sz w:val="20"/>
        </w:rPr>
      </w:pPr>
      <w:r w:rsidRPr="00110D58">
        <w:rPr>
          <w:b/>
        </w:rPr>
        <w:lastRenderedPageBreak/>
        <w:t>T</w:t>
      </w:r>
      <w:r>
        <w:rPr>
          <w:b/>
        </w:rPr>
        <w:t>able 3.</w:t>
      </w:r>
      <w:r w:rsidRPr="00110D58">
        <w:rPr>
          <w:b/>
        </w:rPr>
        <w:t xml:space="preserve"> </w:t>
      </w:r>
      <w:r>
        <w:rPr>
          <w:b/>
        </w:rPr>
        <w:t>Classification of LAA Determinations by Strength of Evidence.</w:t>
      </w:r>
    </w:p>
    <w:tbl>
      <w:tblPr>
        <w:tblStyle w:val="TableGrid"/>
        <w:tblW w:w="8928" w:type="dxa"/>
        <w:tblLook w:val="04A0" w:firstRow="1" w:lastRow="0" w:firstColumn="1" w:lastColumn="0" w:noHBand="0" w:noVBand="1"/>
      </w:tblPr>
      <w:tblGrid>
        <w:gridCol w:w="3020"/>
        <w:gridCol w:w="1655"/>
        <w:gridCol w:w="1497"/>
        <w:gridCol w:w="1168"/>
        <w:gridCol w:w="1588"/>
      </w:tblGrid>
      <w:tr w:rsidR="00B408AC" w:rsidRPr="00081CD7" w14:paraId="2A59CC4A" w14:textId="77777777" w:rsidTr="001D516E">
        <w:trPr>
          <w:trHeight w:val="300"/>
        </w:trPr>
        <w:tc>
          <w:tcPr>
            <w:tcW w:w="3020" w:type="dxa"/>
            <w:vMerge w:val="restart"/>
            <w:shd w:val="clear" w:color="auto" w:fill="D9D9D9" w:themeFill="background1" w:themeFillShade="D9"/>
            <w:noWrap/>
            <w:vAlign w:val="center"/>
          </w:tcPr>
          <w:p w14:paraId="1E4CAEF5" w14:textId="77777777" w:rsidR="00B408AC" w:rsidRPr="00DE00CB" w:rsidRDefault="00B408AC" w:rsidP="000F3FE0">
            <w:pPr>
              <w:jc w:val="center"/>
              <w:rPr>
                <w:b/>
                <w:sz w:val="20"/>
                <w:szCs w:val="20"/>
              </w:rPr>
            </w:pPr>
            <w:r w:rsidRPr="00DE00CB">
              <w:rPr>
                <w:b/>
                <w:sz w:val="20"/>
                <w:szCs w:val="20"/>
              </w:rPr>
              <w:t>Strength of LAA call</w:t>
            </w:r>
          </w:p>
        </w:tc>
        <w:tc>
          <w:tcPr>
            <w:tcW w:w="3152" w:type="dxa"/>
            <w:gridSpan w:val="2"/>
            <w:shd w:val="clear" w:color="auto" w:fill="D9D9D9" w:themeFill="background1" w:themeFillShade="D9"/>
            <w:noWrap/>
            <w:vAlign w:val="center"/>
          </w:tcPr>
          <w:p w14:paraId="7EE0A62C" w14:textId="77777777" w:rsidR="00B408AC" w:rsidRPr="00DE00CB" w:rsidRDefault="00B408AC" w:rsidP="000F3FE0">
            <w:pPr>
              <w:jc w:val="center"/>
              <w:rPr>
                <w:b/>
                <w:sz w:val="20"/>
                <w:szCs w:val="20"/>
              </w:rPr>
            </w:pPr>
            <w:r w:rsidRPr="00DE00CB">
              <w:rPr>
                <w:b/>
                <w:sz w:val="20"/>
                <w:szCs w:val="20"/>
              </w:rPr>
              <w:t>Species range</w:t>
            </w:r>
          </w:p>
        </w:tc>
        <w:tc>
          <w:tcPr>
            <w:tcW w:w="2756" w:type="dxa"/>
            <w:gridSpan w:val="2"/>
            <w:shd w:val="clear" w:color="auto" w:fill="D9D9D9" w:themeFill="background1" w:themeFillShade="D9"/>
            <w:vAlign w:val="center"/>
          </w:tcPr>
          <w:p w14:paraId="0B53D688" w14:textId="77777777" w:rsidR="00B408AC" w:rsidRPr="00DE00CB" w:rsidRDefault="00B408AC" w:rsidP="000F3FE0">
            <w:pPr>
              <w:jc w:val="center"/>
              <w:rPr>
                <w:b/>
                <w:sz w:val="20"/>
                <w:szCs w:val="20"/>
              </w:rPr>
            </w:pPr>
            <w:r w:rsidRPr="00DE00CB">
              <w:rPr>
                <w:b/>
                <w:sz w:val="20"/>
                <w:szCs w:val="20"/>
              </w:rPr>
              <w:t>Critical Habitat</w:t>
            </w:r>
          </w:p>
        </w:tc>
      </w:tr>
      <w:tr w:rsidR="00B408AC" w:rsidRPr="00081CD7" w14:paraId="223832BA" w14:textId="77777777" w:rsidTr="001D516E">
        <w:trPr>
          <w:trHeight w:val="300"/>
        </w:trPr>
        <w:tc>
          <w:tcPr>
            <w:tcW w:w="3020" w:type="dxa"/>
            <w:vMerge/>
            <w:shd w:val="clear" w:color="auto" w:fill="D9D9D9" w:themeFill="background1" w:themeFillShade="D9"/>
            <w:noWrap/>
            <w:vAlign w:val="center"/>
          </w:tcPr>
          <w:p w14:paraId="51FF0527" w14:textId="77777777" w:rsidR="00B408AC" w:rsidRPr="00DE00CB" w:rsidRDefault="00B408AC" w:rsidP="000F3FE0">
            <w:pPr>
              <w:jc w:val="center"/>
              <w:rPr>
                <w:b/>
                <w:sz w:val="20"/>
                <w:szCs w:val="20"/>
              </w:rPr>
            </w:pPr>
          </w:p>
        </w:tc>
        <w:tc>
          <w:tcPr>
            <w:tcW w:w="1655" w:type="dxa"/>
            <w:shd w:val="clear" w:color="auto" w:fill="D9D9D9" w:themeFill="background1" w:themeFillShade="D9"/>
            <w:noWrap/>
            <w:vAlign w:val="center"/>
          </w:tcPr>
          <w:p w14:paraId="3F7593F1" w14:textId="77777777" w:rsidR="00B408AC" w:rsidRPr="00DE00CB" w:rsidRDefault="00B408AC" w:rsidP="000F3FE0">
            <w:pPr>
              <w:jc w:val="center"/>
              <w:rPr>
                <w:b/>
                <w:sz w:val="20"/>
                <w:szCs w:val="20"/>
              </w:rPr>
            </w:pPr>
            <w:r w:rsidRPr="00DE00CB">
              <w:rPr>
                <w:b/>
                <w:sz w:val="20"/>
                <w:szCs w:val="20"/>
              </w:rPr>
              <w:t>Number</w:t>
            </w:r>
          </w:p>
        </w:tc>
        <w:tc>
          <w:tcPr>
            <w:tcW w:w="1497" w:type="dxa"/>
            <w:tcBorders>
              <w:bottom w:val="single" w:sz="4" w:space="0" w:color="auto"/>
            </w:tcBorders>
            <w:shd w:val="clear" w:color="auto" w:fill="D9D9D9" w:themeFill="background1" w:themeFillShade="D9"/>
            <w:vAlign w:val="center"/>
          </w:tcPr>
          <w:p w14:paraId="1CB9582C" w14:textId="77777777" w:rsidR="00B408AC" w:rsidRPr="00DE00CB" w:rsidRDefault="00B408AC" w:rsidP="000F3FE0">
            <w:pPr>
              <w:jc w:val="center"/>
              <w:rPr>
                <w:b/>
                <w:sz w:val="20"/>
                <w:szCs w:val="20"/>
              </w:rPr>
            </w:pPr>
            <w:r w:rsidRPr="00DE00CB">
              <w:rPr>
                <w:b/>
                <w:sz w:val="20"/>
                <w:szCs w:val="20"/>
              </w:rPr>
              <w:t>% of LAA determinations</w:t>
            </w:r>
          </w:p>
        </w:tc>
        <w:tc>
          <w:tcPr>
            <w:tcW w:w="1168" w:type="dxa"/>
            <w:tcBorders>
              <w:bottom w:val="single" w:sz="4" w:space="0" w:color="auto"/>
            </w:tcBorders>
            <w:shd w:val="clear" w:color="auto" w:fill="D9D9D9" w:themeFill="background1" w:themeFillShade="D9"/>
            <w:vAlign w:val="center"/>
          </w:tcPr>
          <w:p w14:paraId="0D785EBD" w14:textId="77777777" w:rsidR="00B408AC" w:rsidRPr="00DE00CB" w:rsidRDefault="00B408AC" w:rsidP="000F3FE0">
            <w:pPr>
              <w:jc w:val="center"/>
              <w:rPr>
                <w:b/>
                <w:sz w:val="20"/>
                <w:szCs w:val="20"/>
              </w:rPr>
            </w:pPr>
            <w:r w:rsidRPr="00DE00CB">
              <w:rPr>
                <w:b/>
                <w:sz w:val="20"/>
                <w:szCs w:val="20"/>
              </w:rPr>
              <w:t>Number</w:t>
            </w:r>
          </w:p>
        </w:tc>
        <w:tc>
          <w:tcPr>
            <w:tcW w:w="1588" w:type="dxa"/>
            <w:tcBorders>
              <w:bottom w:val="single" w:sz="4" w:space="0" w:color="auto"/>
            </w:tcBorders>
            <w:shd w:val="clear" w:color="auto" w:fill="D9D9D9" w:themeFill="background1" w:themeFillShade="D9"/>
            <w:vAlign w:val="center"/>
          </w:tcPr>
          <w:p w14:paraId="5DD72877" w14:textId="77777777" w:rsidR="00B408AC" w:rsidRPr="00DE00CB" w:rsidRDefault="00B408AC" w:rsidP="000F3FE0">
            <w:pPr>
              <w:jc w:val="center"/>
              <w:rPr>
                <w:b/>
                <w:sz w:val="20"/>
                <w:szCs w:val="20"/>
              </w:rPr>
            </w:pPr>
            <w:r w:rsidRPr="00DE00CB">
              <w:rPr>
                <w:b/>
                <w:sz w:val="20"/>
                <w:szCs w:val="20"/>
              </w:rPr>
              <w:t>% of LAA determinations</w:t>
            </w:r>
          </w:p>
        </w:tc>
      </w:tr>
      <w:tr w:rsidR="001D516E" w:rsidRPr="003C3E42" w14:paraId="41B5800C"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0FEC6B6" w14:textId="2908E759" w:rsidR="001D516E" w:rsidRPr="00DE00CB" w:rsidRDefault="001D516E" w:rsidP="001D516E">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91A165A" w14:textId="75EF6A50" w:rsidR="001D516E" w:rsidRPr="00DE00CB" w:rsidRDefault="001D516E" w:rsidP="001D516E">
            <w:pPr>
              <w:jc w:val="center"/>
              <w:rPr>
                <w:sz w:val="20"/>
                <w:szCs w:val="20"/>
              </w:rPr>
            </w:pPr>
            <w:r>
              <w:rPr>
                <w:rFonts w:ascii="Calibri" w:hAnsi="Calibri" w:cs="Calibri"/>
                <w:sz w:val="20"/>
                <w:szCs w:val="20"/>
              </w:rPr>
              <w:t>91</w:t>
            </w:r>
          </w:p>
        </w:tc>
        <w:tc>
          <w:tcPr>
            <w:tcW w:w="1497" w:type="dxa"/>
            <w:tcBorders>
              <w:top w:val="nil"/>
              <w:left w:val="nil"/>
              <w:bottom w:val="single" w:sz="8" w:space="0" w:color="auto"/>
              <w:right w:val="single" w:sz="8" w:space="0" w:color="auto"/>
            </w:tcBorders>
            <w:shd w:val="clear" w:color="auto" w:fill="auto"/>
            <w:vAlign w:val="center"/>
          </w:tcPr>
          <w:p w14:paraId="68D83330" w14:textId="1A53D5AD" w:rsidR="001D516E" w:rsidRPr="00DE00CB" w:rsidRDefault="001D516E" w:rsidP="001D516E">
            <w:pPr>
              <w:jc w:val="center"/>
              <w:rPr>
                <w:sz w:val="20"/>
                <w:szCs w:val="20"/>
              </w:rPr>
            </w:pPr>
            <w:r>
              <w:rPr>
                <w:rFonts w:ascii="Calibri" w:hAnsi="Calibri" w:cs="Calibri"/>
                <w:color w:val="000000"/>
                <w:sz w:val="20"/>
                <w:szCs w:val="20"/>
              </w:rPr>
              <w:t>9%</w:t>
            </w:r>
          </w:p>
        </w:tc>
        <w:tc>
          <w:tcPr>
            <w:tcW w:w="1168" w:type="dxa"/>
            <w:tcBorders>
              <w:top w:val="nil"/>
              <w:left w:val="nil"/>
              <w:bottom w:val="single" w:sz="8" w:space="0" w:color="auto"/>
              <w:right w:val="single" w:sz="8" w:space="0" w:color="auto"/>
            </w:tcBorders>
            <w:shd w:val="clear" w:color="auto" w:fill="auto"/>
            <w:vAlign w:val="center"/>
          </w:tcPr>
          <w:p w14:paraId="4930B6FE" w14:textId="2F565A6E" w:rsidR="001D516E" w:rsidRPr="00DE00CB" w:rsidRDefault="001D516E" w:rsidP="001D516E">
            <w:pPr>
              <w:jc w:val="center"/>
              <w:rPr>
                <w:sz w:val="20"/>
                <w:szCs w:val="20"/>
              </w:rPr>
            </w:pPr>
            <w:r>
              <w:rPr>
                <w:rFonts w:ascii="Calibri" w:hAnsi="Calibri" w:cs="Calibri"/>
                <w:sz w:val="20"/>
                <w:szCs w:val="20"/>
              </w:rPr>
              <w:t>43</w:t>
            </w:r>
          </w:p>
        </w:tc>
        <w:tc>
          <w:tcPr>
            <w:tcW w:w="1588" w:type="dxa"/>
            <w:tcBorders>
              <w:top w:val="nil"/>
              <w:left w:val="nil"/>
              <w:bottom w:val="single" w:sz="8" w:space="0" w:color="auto"/>
              <w:right w:val="single" w:sz="8" w:space="0" w:color="auto"/>
            </w:tcBorders>
            <w:shd w:val="clear" w:color="auto" w:fill="auto"/>
            <w:vAlign w:val="center"/>
          </w:tcPr>
          <w:p w14:paraId="6CE90018" w14:textId="5CDEC11D" w:rsidR="001D516E" w:rsidRPr="00DE00CB" w:rsidRDefault="001D516E" w:rsidP="001D516E">
            <w:pPr>
              <w:jc w:val="center"/>
              <w:rPr>
                <w:sz w:val="20"/>
                <w:szCs w:val="20"/>
              </w:rPr>
            </w:pPr>
            <w:r>
              <w:rPr>
                <w:rFonts w:ascii="Calibri" w:hAnsi="Calibri" w:cs="Calibri"/>
                <w:color w:val="000000"/>
                <w:sz w:val="20"/>
                <w:szCs w:val="20"/>
              </w:rPr>
              <w:t>14%</w:t>
            </w:r>
          </w:p>
        </w:tc>
      </w:tr>
      <w:tr w:rsidR="001D516E" w:rsidRPr="003C3E42" w14:paraId="55806766"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AFE126A" w14:textId="5F1A05A9" w:rsidR="001D516E" w:rsidRPr="00DE00CB" w:rsidRDefault="001D516E" w:rsidP="001D516E">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30156658" w14:textId="439ADD9A" w:rsidR="001D516E" w:rsidRPr="00DE00CB" w:rsidRDefault="001D516E" w:rsidP="001D516E">
            <w:pPr>
              <w:jc w:val="center"/>
              <w:rPr>
                <w:sz w:val="20"/>
                <w:szCs w:val="20"/>
              </w:rPr>
            </w:pPr>
            <w:r>
              <w:rPr>
                <w:rFonts w:ascii="Calibri" w:hAnsi="Calibri" w:cs="Calibri"/>
                <w:sz w:val="20"/>
                <w:szCs w:val="20"/>
              </w:rPr>
              <w:t>798</w:t>
            </w:r>
          </w:p>
        </w:tc>
        <w:tc>
          <w:tcPr>
            <w:tcW w:w="1497" w:type="dxa"/>
            <w:tcBorders>
              <w:top w:val="nil"/>
              <w:left w:val="nil"/>
              <w:bottom w:val="single" w:sz="8" w:space="0" w:color="auto"/>
              <w:right w:val="single" w:sz="8" w:space="0" w:color="auto"/>
            </w:tcBorders>
            <w:shd w:val="clear" w:color="auto" w:fill="auto"/>
            <w:vAlign w:val="center"/>
          </w:tcPr>
          <w:p w14:paraId="4003FEEF" w14:textId="16BF6A5F" w:rsidR="001D516E" w:rsidRPr="00DE00CB" w:rsidRDefault="001D516E" w:rsidP="001D516E">
            <w:pPr>
              <w:jc w:val="center"/>
              <w:rPr>
                <w:sz w:val="20"/>
                <w:szCs w:val="20"/>
              </w:rPr>
            </w:pPr>
            <w:r>
              <w:rPr>
                <w:rFonts w:ascii="Calibri" w:hAnsi="Calibri" w:cs="Calibri"/>
                <w:color w:val="000000"/>
                <w:sz w:val="20"/>
                <w:szCs w:val="20"/>
              </w:rPr>
              <w:t>80%</w:t>
            </w:r>
          </w:p>
        </w:tc>
        <w:tc>
          <w:tcPr>
            <w:tcW w:w="1168" w:type="dxa"/>
            <w:tcBorders>
              <w:top w:val="nil"/>
              <w:left w:val="nil"/>
              <w:bottom w:val="single" w:sz="8" w:space="0" w:color="auto"/>
              <w:right w:val="single" w:sz="8" w:space="0" w:color="auto"/>
            </w:tcBorders>
            <w:shd w:val="clear" w:color="auto" w:fill="auto"/>
            <w:vAlign w:val="center"/>
          </w:tcPr>
          <w:p w14:paraId="7457DCCE" w14:textId="36DF4A23" w:rsidR="001D516E" w:rsidRPr="00DE00CB" w:rsidRDefault="001D516E" w:rsidP="001D516E">
            <w:pPr>
              <w:jc w:val="center"/>
              <w:rPr>
                <w:sz w:val="20"/>
                <w:szCs w:val="20"/>
              </w:rPr>
            </w:pPr>
            <w:r>
              <w:rPr>
                <w:rFonts w:ascii="Calibri" w:hAnsi="Calibri" w:cs="Calibri"/>
                <w:sz w:val="20"/>
                <w:szCs w:val="20"/>
              </w:rPr>
              <w:t>234</w:t>
            </w:r>
          </w:p>
        </w:tc>
        <w:tc>
          <w:tcPr>
            <w:tcW w:w="1588" w:type="dxa"/>
            <w:tcBorders>
              <w:top w:val="nil"/>
              <w:left w:val="nil"/>
              <w:bottom w:val="single" w:sz="8" w:space="0" w:color="auto"/>
              <w:right w:val="single" w:sz="8" w:space="0" w:color="auto"/>
            </w:tcBorders>
            <w:shd w:val="clear" w:color="auto" w:fill="auto"/>
            <w:vAlign w:val="center"/>
          </w:tcPr>
          <w:p w14:paraId="69BEBDB3" w14:textId="41105B1C" w:rsidR="001D516E" w:rsidRPr="00DE00CB" w:rsidRDefault="001D516E" w:rsidP="001D516E">
            <w:pPr>
              <w:jc w:val="center"/>
              <w:rPr>
                <w:sz w:val="20"/>
                <w:szCs w:val="20"/>
              </w:rPr>
            </w:pPr>
            <w:r>
              <w:rPr>
                <w:rFonts w:ascii="Calibri" w:hAnsi="Calibri" w:cs="Calibri"/>
                <w:color w:val="000000"/>
                <w:sz w:val="20"/>
                <w:szCs w:val="20"/>
              </w:rPr>
              <w:t>74%</w:t>
            </w:r>
          </w:p>
        </w:tc>
      </w:tr>
      <w:tr w:rsidR="001D516E" w:rsidRPr="003C3E42" w14:paraId="50704EF0"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3A0B990F" w14:textId="0486255B" w:rsidR="001D516E" w:rsidRPr="00DE00CB" w:rsidRDefault="001D516E" w:rsidP="001D516E">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69FBA897" w14:textId="0BCA7F16" w:rsidR="001D516E" w:rsidRPr="00DE00CB" w:rsidRDefault="001D516E" w:rsidP="001D516E">
            <w:pPr>
              <w:jc w:val="center"/>
              <w:rPr>
                <w:sz w:val="20"/>
                <w:szCs w:val="20"/>
              </w:rPr>
            </w:pPr>
            <w:r>
              <w:rPr>
                <w:rFonts w:ascii="Calibri" w:hAnsi="Calibri" w:cs="Calibri"/>
                <w:sz w:val="20"/>
                <w:szCs w:val="20"/>
              </w:rPr>
              <w:t>104</w:t>
            </w:r>
          </w:p>
        </w:tc>
        <w:tc>
          <w:tcPr>
            <w:tcW w:w="1497" w:type="dxa"/>
            <w:tcBorders>
              <w:top w:val="nil"/>
              <w:left w:val="nil"/>
              <w:bottom w:val="single" w:sz="8" w:space="0" w:color="auto"/>
              <w:right w:val="single" w:sz="8" w:space="0" w:color="auto"/>
            </w:tcBorders>
            <w:shd w:val="clear" w:color="auto" w:fill="auto"/>
            <w:vAlign w:val="center"/>
          </w:tcPr>
          <w:p w14:paraId="767FA861" w14:textId="53359F81" w:rsidR="001D516E" w:rsidRPr="00DE00CB" w:rsidRDefault="001D516E" w:rsidP="001D516E">
            <w:pPr>
              <w:jc w:val="center"/>
              <w:rPr>
                <w:sz w:val="20"/>
                <w:szCs w:val="20"/>
              </w:rPr>
            </w:pPr>
            <w:r>
              <w:rPr>
                <w:rFonts w:ascii="Calibri" w:hAnsi="Calibri" w:cs="Calibri"/>
                <w:color w:val="000000"/>
                <w:sz w:val="20"/>
                <w:szCs w:val="20"/>
              </w:rPr>
              <w:t>10%</w:t>
            </w:r>
          </w:p>
        </w:tc>
        <w:tc>
          <w:tcPr>
            <w:tcW w:w="1168" w:type="dxa"/>
            <w:tcBorders>
              <w:top w:val="nil"/>
              <w:left w:val="nil"/>
              <w:bottom w:val="single" w:sz="8" w:space="0" w:color="auto"/>
              <w:right w:val="single" w:sz="8" w:space="0" w:color="auto"/>
            </w:tcBorders>
            <w:shd w:val="clear" w:color="auto" w:fill="auto"/>
            <w:vAlign w:val="center"/>
          </w:tcPr>
          <w:p w14:paraId="1A6B974A" w14:textId="4C4E33DA" w:rsidR="001D516E" w:rsidRPr="00DE00CB" w:rsidRDefault="001D516E" w:rsidP="001D516E">
            <w:pPr>
              <w:jc w:val="center"/>
              <w:rPr>
                <w:sz w:val="20"/>
                <w:szCs w:val="20"/>
              </w:rPr>
            </w:pPr>
            <w:r>
              <w:rPr>
                <w:rFonts w:ascii="Calibri" w:hAnsi="Calibri" w:cs="Calibri"/>
                <w:sz w:val="20"/>
                <w:szCs w:val="20"/>
              </w:rPr>
              <w:t>39</w:t>
            </w:r>
          </w:p>
        </w:tc>
        <w:tc>
          <w:tcPr>
            <w:tcW w:w="1588" w:type="dxa"/>
            <w:tcBorders>
              <w:top w:val="nil"/>
              <w:left w:val="nil"/>
              <w:bottom w:val="single" w:sz="8" w:space="0" w:color="auto"/>
              <w:right w:val="single" w:sz="8" w:space="0" w:color="auto"/>
            </w:tcBorders>
            <w:shd w:val="clear" w:color="auto" w:fill="auto"/>
            <w:vAlign w:val="center"/>
          </w:tcPr>
          <w:p w14:paraId="2C97A3B6" w14:textId="6DDE4CE3" w:rsidR="001D516E" w:rsidRPr="00DE00CB" w:rsidRDefault="001D516E" w:rsidP="001D516E">
            <w:pPr>
              <w:jc w:val="center"/>
              <w:rPr>
                <w:sz w:val="20"/>
                <w:szCs w:val="20"/>
              </w:rPr>
            </w:pPr>
            <w:r>
              <w:rPr>
                <w:rFonts w:ascii="Calibri" w:hAnsi="Calibri" w:cs="Calibri"/>
                <w:color w:val="000000"/>
                <w:sz w:val="20"/>
                <w:szCs w:val="20"/>
              </w:rPr>
              <w:t>12%</w:t>
            </w:r>
          </w:p>
        </w:tc>
      </w:tr>
    </w:tbl>
    <w:p w14:paraId="7F913483" w14:textId="77777777" w:rsidR="00B408AC" w:rsidRDefault="00B408AC" w:rsidP="00B408AC">
      <w:pPr>
        <w:rPr>
          <w:noProof/>
          <w:sz w:val="20"/>
        </w:rPr>
      </w:pPr>
    </w:p>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FC58" w14:textId="77777777" w:rsidR="009231AB" w:rsidRDefault="009231AB" w:rsidP="00330467">
      <w:r>
        <w:separator/>
      </w:r>
    </w:p>
  </w:endnote>
  <w:endnote w:type="continuationSeparator" w:id="0">
    <w:p w14:paraId="6017E963" w14:textId="77777777" w:rsidR="009231AB" w:rsidRDefault="009231AB" w:rsidP="00330467">
      <w:r>
        <w:continuationSeparator/>
      </w:r>
    </w:p>
  </w:endnote>
  <w:endnote w:type="continuationNotice" w:id="1">
    <w:p w14:paraId="00BFF75B" w14:textId="77777777" w:rsidR="009231AB" w:rsidRDefault="0092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33621"/>
      <w:docPartObj>
        <w:docPartGallery w:val="Page Numbers (Bottom of Page)"/>
        <w:docPartUnique/>
      </w:docPartObj>
    </w:sdtPr>
    <w:sdtEndPr>
      <w:rPr>
        <w:noProof/>
      </w:rPr>
    </w:sdtEndPr>
    <w:sdtContent>
      <w:p w14:paraId="0AAFB633" w14:textId="5BE0AC89" w:rsidR="001311E9" w:rsidRDefault="00131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092FF0" w:rsidRDefault="0009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B271" w14:textId="77777777" w:rsidR="009231AB" w:rsidRDefault="009231AB" w:rsidP="00330467">
      <w:r>
        <w:separator/>
      </w:r>
    </w:p>
  </w:footnote>
  <w:footnote w:type="continuationSeparator" w:id="0">
    <w:p w14:paraId="2EB550B8" w14:textId="77777777" w:rsidR="009231AB" w:rsidRDefault="009231AB" w:rsidP="00330467">
      <w:r>
        <w:continuationSeparator/>
      </w:r>
    </w:p>
  </w:footnote>
  <w:footnote w:type="continuationNotice" w:id="1">
    <w:p w14:paraId="2E44DA09" w14:textId="77777777" w:rsidR="009231AB" w:rsidRDefault="009231AB"/>
  </w:footnote>
  <w:footnote w:id="2">
    <w:p w14:paraId="5109492E" w14:textId="77777777" w:rsidR="00D205F1" w:rsidRDefault="00D205F1" w:rsidP="00D205F1">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6C62C50C" w14:textId="77777777" w:rsidR="00A02B04" w:rsidRDefault="00A02B04" w:rsidP="00A02B04">
      <w:pPr>
        <w:pStyle w:val="FootnoteText"/>
      </w:pPr>
      <w:r>
        <w:rPr>
          <w:rStyle w:val="FootnoteReference"/>
        </w:rPr>
        <w:footnoteRef/>
      </w:r>
      <w:r>
        <w:t xml:space="preserve"> The FAO mobility classification system is recommended for use in exposure assessments in the Office of Pesticide Programs in “</w:t>
      </w:r>
      <w:r w:rsidRPr="00427DEC">
        <w:rPr>
          <w:rFonts w:ascii="Segoe UI" w:hAnsi="Segoe UI" w:cs="Segoe UI"/>
          <w:i/>
          <w:sz w:val="18"/>
          <w:szCs w:val="18"/>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Pr>
          <w:rFonts w:ascii="Segoe UI" w:hAnsi="Segoe UI" w:cs="Segoe UI"/>
          <w:sz w:val="18"/>
          <w:szCs w:val="18"/>
        </w:rPr>
        <w:t xml:space="preserve">” </w:t>
      </w:r>
      <w:r>
        <w:rPr>
          <w:rFonts w:ascii="Segoe UI" w:hAnsi="Segoe UI" w:cs="Segoe UI"/>
          <w:sz w:val="18"/>
          <w:szCs w:val="18"/>
        </w:rPr>
        <w:fldChar w:fldCharType="begin"/>
      </w:r>
      <w:r>
        <w:rPr>
          <w:rFonts w:ascii="Segoe UI" w:hAnsi="Segoe UI" w:cs="Segoe UI"/>
          <w:sz w:val="18"/>
          <w:szCs w:val="18"/>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Pr>
          <w:rFonts w:ascii="Segoe UI" w:hAnsi="Segoe UI" w:cs="Segoe UI"/>
          <w:sz w:val="18"/>
          <w:szCs w:val="18"/>
        </w:rPr>
        <w:fldChar w:fldCharType="separate"/>
      </w:r>
      <w:r>
        <w:rPr>
          <w:rFonts w:ascii="Segoe UI" w:hAnsi="Segoe UI" w:cs="Segoe UI"/>
          <w:noProof/>
          <w:sz w:val="18"/>
          <w:szCs w:val="18"/>
        </w:rPr>
        <w:t>(USEPA, 2010)</w:t>
      </w:r>
      <w:r>
        <w:rPr>
          <w:rFonts w:ascii="Segoe UI" w:hAnsi="Segoe UI" w:cs="Segoe UI"/>
          <w:sz w:val="18"/>
          <w:szCs w:val="18"/>
        </w:rPr>
        <w:fldChar w:fldCharType="end"/>
      </w:r>
      <w:r>
        <w:rPr>
          <w:rFonts w:ascii="Segoe UI" w:hAnsi="Segoe UI" w:cs="Segoe UI"/>
          <w:sz w:val="18"/>
          <w:szCs w:val="18"/>
        </w:rPr>
        <w:t>.</w:t>
      </w:r>
    </w:p>
  </w:footnote>
  <w:footnote w:id="4">
    <w:p w14:paraId="5F0D0456" w14:textId="4FAC842D" w:rsidR="00092FF0" w:rsidRDefault="00092FF0"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1" w:history="1">
        <w:r w:rsidRPr="000C244B">
          <w:t>https://www.epa.gov/pesticide-science-and-assessing-pesticide-risks/models-pesticide-risk-assessment</w:t>
        </w:r>
      </w:hyperlink>
    </w:p>
  </w:footnote>
  <w:footnote w:id="5">
    <w:p w14:paraId="62F3EC67" w14:textId="77777777" w:rsidR="00D205F1" w:rsidRDefault="00D205F1" w:rsidP="00D205F1">
      <w:pPr>
        <w:pStyle w:val="FootnoteText"/>
      </w:pPr>
      <w:r>
        <w:rPr>
          <w:rStyle w:val="FootnoteReference"/>
        </w:rPr>
        <w:footnoteRef/>
      </w:r>
      <w:r>
        <w:t xml:space="preserve"> NE = No effect. MA = May affect. NLAA = Not likely to adversely affect. LAA = Likely to adversely affect.</w:t>
      </w:r>
    </w:p>
  </w:footnote>
  <w:footnote w:id="6">
    <w:p w14:paraId="42C11824" w14:textId="77777777" w:rsidR="00D205F1" w:rsidRDefault="00D205F1" w:rsidP="00D205F1">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oberCMiFdVmNiS9ndq6Ui2cNcraGBDA/QS/qaezrKrVJ4SsK0zVC9DxTkjeTqxHePt2/IeGjz7Iuv7cP3vddQ==" w:salt="fKpJ3Qvc3kJ+YBqMRQmSnQ=="/>
  <w:defaultTabStop w:val="720"/>
  <w:doNotShadeFormData/>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673C"/>
    <w:rsid w:val="000324E8"/>
    <w:rsid w:val="00032C7B"/>
    <w:rsid w:val="00033AAD"/>
    <w:rsid w:val="00033DB4"/>
    <w:rsid w:val="000347EF"/>
    <w:rsid w:val="000446F0"/>
    <w:rsid w:val="000500CD"/>
    <w:rsid w:val="00052A71"/>
    <w:rsid w:val="000563AF"/>
    <w:rsid w:val="00065954"/>
    <w:rsid w:val="000677AA"/>
    <w:rsid w:val="000707E4"/>
    <w:rsid w:val="00073594"/>
    <w:rsid w:val="00074FBE"/>
    <w:rsid w:val="000807D9"/>
    <w:rsid w:val="000829C5"/>
    <w:rsid w:val="00083B6C"/>
    <w:rsid w:val="00086AA1"/>
    <w:rsid w:val="00092FF0"/>
    <w:rsid w:val="000A1407"/>
    <w:rsid w:val="000A4725"/>
    <w:rsid w:val="000A575F"/>
    <w:rsid w:val="000B334D"/>
    <w:rsid w:val="000B4CBE"/>
    <w:rsid w:val="000C244B"/>
    <w:rsid w:val="000C2F82"/>
    <w:rsid w:val="000C6A3E"/>
    <w:rsid w:val="000D2F44"/>
    <w:rsid w:val="000D476C"/>
    <w:rsid w:val="000D4CAA"/>
    <w:rsid w:val="000D7D0E"/>
    <w:rsid w:val="000E309A"/>
    <w:rsid w:val="000E6928"/>
    <w:rsid w:val="000F2DC8"/>
    <w:rsid w:val="000F3AF7"/>
    <w:rsid w:val="000F3FE0"/>
    <w:rsid w:val="000F4327"/>
    <w:rsid w:val="0010233C"/>
    <w:rsid w:val="00110C34"/>
    <w:rsid w:val="00111382"/>
    <w:rsid w:val="00117D77"/>
    <w:rsid w:val="00122436"/>
    <w:rsid w:val="00122E66"/>
    <w:rsid w:val="001232B3"/>
    <w:rsid w:val="00126F63"/>
    <w:rsid w:val="001311E9"/>
    <w:rsid w:val="0013472B"/>
    <w:rsid w:val="00134B79"/>
    <w:rsid w:val="0014269E"/>
    <w:rsid w:val="00143F04"/>
    <w:rsid w:val="001466FC"/>
    <w:rsid w:val="001521D1"/>
    <w:rsid w:val="00154BDA"/>
    <w:rsid w:val="00160A09"/>
    <w:rsid w:val="00160CD1"/>
    <w:rsid w:val="00171173"/>
    <w:rsid w:val="0017152A"/>
    <w:rsid w:val="00171E4D"/>
    <w:rsid w:val="001726C9"/>
    <w:rsid w:val="00174FFA"/>
    <w:rsid w:val="00186168"/>
    <w:rsid w:val="00190605"/>
    <w:rsid w:val="001926CA"/>
    <w:rsid w:val="00192708"/>
    <w:rsid w:val="001A3C45"/>
    <w:rsid w:val="001A40B9"/>
    <w:rsid w:val="001A4F5C"/>
    <w:rsid w:val="001B30FB"/>
    <w:rsid w:val="001C2986"/>
    <w:rsid w:val="001C3796"/>
    <w:rsid w:val="001C4866"/>
    <w:rsid w:val="001C6B2E"/>
    <w:rsid w:val="001C75EE"/>
    <w:rsid w:val="001D4536"/>
    <w:rsid w:val="001D4EB7"/>
    <w:rsid w:val="001D504C"/>
    <w:rsid w:val="001D516E"/>
    <w:rsid w:val="001D63C8"/>
    <w:rsid w:val="001E5734"/>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B86"/>
    <w:rsid w:val="00253286"/>
    <w:rsid w:val="002636EB"/>
    <w:rsid w:val="0026396F"/>
    <w:rsid w:val="0026517A"/>
    <w:rsid w:val="00266071"/>
    <w:rsid w:val="00267E9F"/>
    <w:rsid w:val="002716A0"/>
    <w:rsid w:val="00274175"/>
    <w:rsid w:val="002825F5"/>
    <w:rsid w:val="002841B6"/>
    <w:rsid w:val="00291476"/>
    <w:rsid w:val="00296F73"/>
    <w:rsid w:val="002A59CB"/>
    <w:rsid w:val="002B275B"/>
    <w:rsid w:val="002B49A3"/>
    <w:rsid w:val="002B59D7"/>
    <w:rsid w:val="002C2ECC"/>
    <w:rsid w:val="002C401D"/>
    <w:rsid w:val="002C4CFD"/>
    <w:rsid w:val="002C5413"/>
    <w:rsid w:val="002D139E"/>
    <w:rsid w:val="002D2A52"/>
    <w:rsid w:val="002E01CF"/>
    <w:rsid w:val="002F0C39"/>
    <w:rsid w:val="002F0ED3"/>
    <w:rsid w:val="002F4C76"/>
    <w:rsid w:val="002F6F7A"/>
    <w:rsid w:val="00303446"/>
    <w:rsid w:val="00303775"/>
    <w:rsid w:val="00303C39"/>
    <w:rsid w:val="00310D68"/>
    <w:rsid w:val="00310F57"/>
    <w:rsid w:val="00312480"/>
    <w:rsid w:val="00312DD7"/>
    <w:rsid w:val="003177C9"/>
    <w:rsid w:val="00323F48"/>
    <w:rsid w:val="0033021F"/>
    <w:rsid w:val="00330467"/>
    <w:rsid w:val="00330580"/>
    <w:rsid w:val="003415BC"/>
    <w:rsid w:val="0035065E"/>
    <w:rsid w:val="0035147F"/>
    <w:rsid w:val="00351C75"/>
    <w:rsid w:val="00353477"/>
    <w:rsid w:val="00354E8A"/>
    <w:rsid w:val="00374D1B"/>
    <w:rsid w:val="003819F0"/>
    <w:rsid w:val="003873C0"/>
    <w:rsid w:val="00391D18"/>
    <w:rsid w:val="00393A4D"/>
    <w:rsid w:val="003A6483"/>
    <w:rsid w:val="003B252C"/>
    <w:rsid w:val="003B2CCB"/>
    <w:rsid w:val="003B4B31"/>
    <w:rsid w:val="003B4B69"/>
    <w:rsid w:val="003B5F9B"/>
    <w:rsid w:val="003B6C80"/>
    <w:rsid w:val="003B6FF6"/>
    <w:rsid w:val="003C3423"/>
    <w:rsid w:val="003C6E81"/>
    <w:rsid w:val="003D3716"/>
    <w:rsid w:val="003D63A9"/>
    <w:rsid w:val="003D74AE"/>
    <w:rsid w:val="003F0BF1"/>
    <w:rsid w:val="003F60A7"/>
    <w:rsid w:val="003F770C"/>
    <w:rsid w:val="00415354"/>
    <w:rsid w:val="00416CC9"/>
    <w:rsid w:val="00421756"/>
    <w:rsid w:val="00424A3F"/>
    <w:rsid w:val="00433D9E"/>
    <w:rsid w:val="004344EE"/>
    <w:rsid w:val="004406D6"/>
    <w:rsid w:val="00441872"/>
    <w:rsid w:val="00442D91"/>
    <w:rsid w:val="0044391F"/>
    <w:rsid w:val="0045224D"/>
    <w:rsid w:val="00456546"/>
    <w:rsid w:val="00456FF6"/>
    <w:rsid w:val="00457E1B"/>
    <w:rsid w:val="00465462"/>
    <w:rsid w:val="004669A2"/>
    <w:rsid w:val="00467636"/>
    <w:rsid w:val="00467DA9"/>
    <w:rsid w:val="00467F27"/>
    <w:rsid w:val="00474A82"/>
    <w:rsid w:val="00474F88"/>
    <w:rsid w:val="00477FD7"/>
    <w:rsid w:val="00483026"/>
    <w:rsid w:val="004861E1"/>
    <w:rsid w:val="00486AA8"/>
    <w:rsid w:val="00487A73"/>
    <w:rsid w:val="004A40CE"/>
    <w:rsid w:val="004B4A43"/>
    <w:rsid w:val="004B55E7"/>
    <w:rsid w:val="004B6CC4"/>
    <w:rsid w:val="004B7AC3"/>
    <w:rsid w:val="004C5C58"/>
    <w:rsid w:val="004C66F1"/>
    <w:rsid w:val="004D0F93"/>
    <w:rsid w:val="004D1BDC"/>
    <w:rsid w:val="004E2E0F"/>
    <w:rsid w:val="004E3D6B"/>
    <w:rsid w:val="004F3CBE"/>
    <w:rsid w:val="004F7FAF"/>
    <w:rsid w:val="00504FC6"/>
    <w:rsid w:val="00507E9A"/>
    <w:rsid w:val="005235EC"/>
    <w:rsid w:val="00525490"/>
    <w:rsid w:val="005267CA"/>
    <w:rsid w:val="00542D42"/>
    <w:rsid w:val="00545971"/>
    <w:rsid w:val="00546A2E"/>
    <w:rsid w:val="00546DD1"/>
    <w:rsid w:val="00550153"/>
    <w:rsid w:val="00553294"/>
    <w:rsid w:val="00555EFB"/>
    <w:rsid w:val="005632D1"/>
    <w:rsid w:val="005721BD"/>
    <w:rsid w:val="005760B5"/>
    <w:rsid w:val="005807A5"/>
    <w:rsid w:val="00580A2F"/>
    <w:rsid w:val="005949FD"/>
    <w:rsid w:val="00596AC4"/>
    <w:rsid w:val="005A2C5D"/>
    <w:rsid w:val="005A7E2E"/>
    <w:rsid w:val="005B5236"/>
    <w:rsid w:val="005B73D0"/>
    <w:rsid w:val="005C180C"/>
    <w:rsid w:val="005C4C21"/>
    <w:rsid w:val="005C5690"/>
    <w:rsid w:val="005D04D6"/>
    <w:rsid w:val="005D1BFA"/>
    <w:rsid w:val="005D27F2"/>
    <w:rsid w:val="005E521C"/>
    <w:rsid w:val="005E53CB"/>
    <w:rsid w:val="006008C7"/>
    <w:rsid w:val="00607C24"/>
    <w:rsid w:val="0061209B"/>
    <w:rsid w:val="006123E4"/>
    <w:rsid w:val="00613A27"/>
    <w:rsid w:val="00614514"/>
    <w:rsid w:val="0061478A"/>
    <w:rsid w:val="006153F1"/>
    <w:rsid w:val="00615B53"/>
    <w:rsid w:val="00623D7B"/>
    <w:rsid w:val="00624D1B"/>
    <w:rsid w:val="00631002"/>
    <w:rsid w:val="00634B4C"/>
    <w:rsid w:val="00641ABE"/>
    <w:rsid w:val="00645EC3"/>
    <w:rsid w:val="006722F0"/>
    <w:rsid w:val="00672413"/>
    <w:rsid w:val="00673C2B"/>
    <w:rsid w:val="00674268"/>
    <w:rsid w:val="00675167"/>
    <w:rsid w:val="006837D9"/>
    <w:rsid w:val="00690822"/>
    <w:rsid w:val="006A2247"/>
    <w:rsid w:val="006A4420"/>
    <w:rsid w:val="006A445C"/>
    <w:rsid w:val="006B2641"/>
    <w:rsid w:val="006B26A2"/>
    <w:rsid w:val="006B5C3A"/>
    <w:rsid w:val="006B7254"/>
    <w:rsid w:val="006D0523"/>
    <w:rsid w:val="006D75E4"/>
    <w:rsid w:val="006E1AAE"/>
    <w:rsid w:val="006E289F"/>
    <w:rsid w:val="006F28F5"/>
    <w:rsid w:val="006F4EA6"/>
    <w:rsid w:val="006F62E6"/>
    <w:rsid w:val="00714D28"/>
    <w:rsid w:val="007166BF"/>
    <w:rsid w:val="0071784E"/>
    <w:rsid w:val="007179AF"/>
    <w:rsid w:val="00717C3E"/>
    <w:rsid w:val="00720C1B"/>
    <w:rsid w:val="00722DCA"/>
    <w:rsid w:val="007256EF"/>
    <w:rsid w:val="00733A4C"/>
    <w:rsid w:val="007400FE"/>
    <w:rsid w:val="00743F08"/>
    <w:rsid w:val="007505C3"/>
    <w:rsid w:val="00761978"/>
    <w:rsid w:val="007655CF"/>
    <w:rsid w:val="007667F0"/>
    <w:rsid w:val="0077570A"/>
    <w:rsid w:val="00775F47"/>
    <w:rsid w:val="00783261"/>
    <w:rsid w:val="00783B1B"/>
    <w:rsid w:val="00784B2B"/>
    <w:rsid w:val="00785131"/>
    <w:rsid w:val="0078584A"/>
    <w:rsid w:val="00791137"/>
    <w:rsid w:val="007917C1"/>
    <w:rsid w:val="007A47BE"/>
    <w:rsid w:val="007A6A83"/>
    <w:rsid w:val="007B79A6"/>
    <w:rsid w:val="007B7CA3"/>
    <w:rsid w:val="007C0A56"/>
    <w:rsid w:val="007C0A6E"/>
    <w:rsid w:val="007C274A"/>
    <w:rsid w:val="007C6C47"/>
    <w:rsid w:val="007D6193"/>
    <w:rsid w:val="007E5095"/>
    <w:rsid w:val="007E6AE0"/>
    <w:rsid w:val="007E7809"/>
    <w:rsid w:val="007F332A"/>
    <w:rsid w:val="00802603"/>
    <w:rsid w:val="00804152"/>
    <w:rsid w:val="00816190"/>
    <w:rsid w:val="008204F8"/>
    <w:rsid w:val="00822B4E"/>
    <w:rsid w:val="0082687E"/>
    <w:rsid w:val="008322C6"/>
    <w:rsid w:val="00836465"/>
    <w:rsid w:val="008409A0"/>
    <w:rsid w:val="00861834"/>
    <w:rsid w:val="00866652"/>
    <w:rsid w:val="00867F6F"/>
    <w:rsid w:val="008722AF"/>
    <w:rsid w:val="00872545"/>
    <w:rsid w:val="00875818"/>
    <w:rsid w:val="00877954"/>
    <w:rsid w:val="00886C2F"/>
    <w:rsid w:val="00890ADD"/>
    <w:rsid w:val="00893971"/>
    <w:rsid w:val="00893E03"/>
    <w:rsid w:val="008A4BA2"/>
    <w:rsid w:val="008C01AA"/>
    <w:rsid w:val="008C5566"/>
    <w:rsid w:val="008D1C96"/>
    <w:rsid w:val="008D449E"/>
    <w:rsid w:val="008F32E8"/>
    <w:rsid w:val="008F3EFA"/>
    <w:rsid w:val="008F4386"/>
    <w:rsid w:val="008F51AB"/>
    <w:rsid w:val="008F522B"/>
    <w:rsid w:val="0090266C"/>
    <w:rsid w:val="00916F11"/>
    <w:rsid w:val="009174AE"/>
    <w:rsid w:val="009231AB"/>
    <w:rsid w:val="00923AD3"/>
    <w:rsid w:val="00925B29"/>
    <w:rsid w:val="009269B6"/>
    <w:rsid w:val="00930D5F"/>
    <w:rsid w:val="009325C0"/>
    <w:rsid w:val="00932D15"/>
    <w:rsid w:val="009341F6"/>
    <w:rsid w:val="00937150"/>
    <w:rsid w:val="00943861"/>
    <w:rsid w:val="009630C0"/>
    <w:rsid w:val="00966889"/>
    <w:rsid w:val="00971428"/>
    <w:rsid w:val="00972637"/>
    <w:rsid w:val="00982D77"/>
    <w:rsid w:val="0098319A"/>
    <w:rsid w:val="00994F37"/>
    <w:rsid w:val="0099729A"/>
    <w:rsid w:val="009A5892"/>
    <w:rsid w:val="009C04B2"/>
    <w:rsid w:val="009C68AE"/>
    <w:rsid w:val="009D72A8"/>
    <w:rsid w:val="00A00EE6"/>
    <w:rsid w:val="00A02B04"/>
    <w:rsid w:val="00A048A0"/>
    <w:rsid w:val="00A05EF2"/>
    <w:rsid w:val="00A06212"/>
    <w:rsid w:val="00A217A1"/>
    <w:rsid w:val="00A250EC"/>
    <w:rsid w:val="00A2710C"/>
    <w:rsid w:val="00A27315"/>
    <w:rsid w:val="00A309AC"/>
    <w:rsid w:val="00A34D82"/>
    <w:rsid w:val="00A4112C"/>
    <w:rsid w:val="00A47034"/>
    <w:rsid w:val="00A47677"/>
    <w:rsid w:val="00A52C4E"/>
    <w:rsid w:val="00A63BEF"/>
    <w:rsid w:val="00A64A60"/>
    <w:rsid w:val="00A64CC1"/>
    <w:rsid w:val="00A70773"/>
    <w:rsid w:val="00A80427"/>
    <w:rsid w:val="00A84162"/>
    <w:rsid w:val="00A918B9"/>
    <w:rsid w:val="00A953F6"/>
    <w:rsid w:val="00A95B31"/>
    <w:rsid w:val="00AA06FB"/>
    <w:rsid w:val="00AB5B88"/>
    <w:rsid w:val="00AB7C89"/>
    <w:rsid w:val="00AD4289"/>
    <w:rsid w:val="00AD4BC2"/>
    <w:rsid w:val="00AD5886"/>
    <w:rsid w:val="00AE15F1"/>
    <w:rsid w:val="00AE52D0"/>
    <w:rsid w:val="00AE6D08"/>
    <w:rsid w:val="00AF05E0"/>
    <w:rsid w:val="00AF4B48"/>
    <w:rsid w:val="00AF4EE9"/>
    <w:rsid w:val="00B001CB"/>
    <w:rsid w:val="00B00553"/>
    <w:rsid w:val="00B01EBB"/>
    <w:rsid w:val="00B04AA7"/>
    <w:rsid w:val="00B14677"/>
    <w:rsid w:val="00B14E21"/>
    <w:rsid w:val="00B1575D"/>
    <w:rsid w:val="00B32975"/>
    <w:rsid w:val="00B32F80"/>
    <w:rsid w:val="00B36A79"/>
    <w:rsid w:val="00B408AC"/>
    <w:rsid w:val="00B41EAE"/>
    <w:rsid w:val="00B66755"/>
    <w:rsid w:val="00B732A0"/>
    <w:rsid w:val="00B77EA4"/>
    <w:rsid w:val="00B85C2A"/>
    <w:rsid w:val="00B91F3F"/>
    <w:rsid w:val="00B932FF"/>
    <w:rsid w:val="00B97E41"/>
    <w:rsid w:val="00BA5F89"/>
    <w:rsid w:val="00BB0C2D"/>
    <w:rsid w:val="00BB4937"/>
    <w:rsid w:val="00BB5F7C"/>
    <w:rsid w:val="00BC1486"/>
    <w:rsid w:val="00BC7AF6"/>
    <w:rsid w:val="00BD5C3E"/>
    <w:rsid w:val="00BD61C4"/>
    <w:rsid w:val="00BE2F82"/>
    <w:rsid w:val="00BE70F9"/>
    <w:rsid w:val="00BE7466"/>
    <w:rsid w:val="00BF577E"/>
    <w:rsid w:val="00C01C9E"/>
    <w:rsid w:val="00C01E44"/>
    <w:rsid w:val="00C056AC"/>
    <w:rsid w:val="00C06BE5"/>
    <w:rsid w:val="00C1079F"/>
    <w:rsid w:val="00C13650"/>
    <w:rsid w:val="00C17A63"/>
    <w:rsid w:val="00C20F1A"/>
    <w:rsid w:val="00C21087"/>
    <w:rsid w:val="00C22250"/>
    <w:rsid w:val="00C227C7"/>
    <w:rsid w:val="00C3016B"/>
    <w:rsid w:val="00C33B53"/>
    <w:rsid w:val="00C340DE"/>
    <w:rsid w:val="00C40778"/>
    <w:rsid w:val="00C41195"/>
    <w:rsid w:val="00C41D89"/>
    <w:rsid w:val="00C57F9E"/>
    <w:rsid w:val="00C633D9"/>
    <w:rsid w:val="00C700FB"/>
    <w:rsid w:val="00C72EBE"/>
    <w:rsid w:val="00C74F6B"/>
    <w:rsid w:val="00C7543E"/>
    <w:rsid w:val="00C7566C"/>
    <w:rsid w:val="00C7590D"/>
    <w:rsid w:val="00C76A8B"/>
    <w:rsid w:val="00C8016A"/>
    <w:rsid w:val="00C8066C"/>
    <w:rsid w:val="00C823F4"/>
    <w:rsid w:val="00C85ED0"/>
    <w:rsid w:val="00C932E3"/>
    <w:rsid w:val="00C9564C"/>
    <w:rsid w:val="00CA023E"/>
    <w:rsid w:val="00CA4CDB"/>
    <w:rsid w:val="00CB23DA"/>
    <w:rsid w:val="00CC2634"/>
    <w:rsid w:val="00CC3277"/>
    <w:rsid w:val="00CC3B65"/>
    <w:rsid w:val="00CC664F"/>
    <w:rsid w:val="00CD3692"/>
    <w:rsid w:val="00CE0987"/>
    <w:rsid w:val="00CE1C66"/>
    <w:rsid w:val="00CE3D42"/>
    <w:rsid w:val="00CF1313"/>
    <w:rsid w:val="00CF21A2"/>
    <w:rsid w:val="00CF3F0F"/>
    <w:rsid w:val="00D021E3"/>
    <w:rsid w:val="00D026F3"/>
    <w:rsid w:val="00D10797"/>
    <w:rsid w:val="00D1256E"/>
    <w:rsid w:val="00D12DB0"/>
    <w:rsid w:val="00D15940"/>
    <w:rsid w:val="00D205F1"/>
    <w:rsid w:val="00D23232"/>
    <w:rsid w:val="00D36912"/>
    <w:rsid w:val="00D40751"/>
    <w:rsid w:val="00D467CD"/>
    <w:rsid w:val="00D6321B"/>
    <w:rsid w:val="00D64F94"/>
    <w:rsid w:val="00D70B7B"/>
    <w:rsid w:val="00D72DE9"/>
    <w:rsid w:val="00D768C5"/>
    <w:rsid w:val="00D8211E"/>
    <w:rsid w:val="00D827DC"/>
    <w:rsid w:val="00D853B2"/>
    <w:rsid w:val="00D8647A"/>
    <w:rsid w:val="00D8687E"/>
    <w:rsid w:val="00D93717"/>
    <w:rsid w:val="00DA6892"/>
    <w:rsid w:val="00DB0394"/>
    <w:rsid w:val="00DB5E5D"/>
    <w:rsid w:val="00DC04D5"/>
    <w:rsid w:val="00DD01A0"/>
    <w:rsid w:val="00DD4803"/>
    <w:rsid w:val="00DE2E1D"/>
    <w:rsid w:val="00DE73D0"/>
    <w:rsid w:val="00DF03C3"/>
    <w:rsid w:val="00DF273A"/>
    <w:rsid w:val="00E0039A"/>
    <w:rsid w:val="00E06F80"/>
    <w:rsid w:val="00E16B87"/>
    <w:rsid w:val="00E20853"/>
    <w:rsid w:val="00E35815"/>
    <w:rsid w:val="00E53606"/>
    <w:rsid w:val="00E61DA7"/>
    <w:rsid w:val="00E64C9B"/>
    <w:rsid w:val="00E8546B"/>
    <w:rsid w:val="00E91586"/>
    <w:rsid w:val="00E94DD1"/>
    <w:rsid w:val="00EA463C"/>
    <w:rsid w:val="00EA65DD"/>
    <w:rsid w:val="00EB2B80"/>
    <w:rsid w:val="00EB33B0"/>
    <w:rsid w:val="00EB37E2"/>
    <w:rsid w:val="00EB4EC3"/>
    <w:rsid w:val="00ED0D37"/>
    <w:rsid w:val="00ED345A"/>
    <w:rsid w:val="00ED45B2"/>
    <w:rsid w:val="00ED538A"/>
    <w:rsid w:val="00ED79AF"/>
    <w:rsid w:val="00F02672"/>
    <w:rsid w:val="00F03042"/>
    <w:rsid w:val="00F06B22"/>
    <w:rsid w:val="00F41F3A"/>
    <w:rsid w:val="00F42297"/>
    <w:rsid w:val="00F45B82"/>
    <w:rsid w:val="00F47B1B"/>
    <w:rsid w:val="00F50985"/>
    <w:rsid w:val="00F53333"/>
    <w:rsid w:val="00F60E0D"/>
    <w:rsid w:val="00F67DCD"/>
    <w:rsid w:val="00F83E96"/>
    <w:rsid w:val="00F84F72"/>
    <w:rsid w:val="00F928BA"/>
    <w:rsid w:val="00F97AFB"/>
    <w:rsid w:val="00FA3E72"/>
    <w:rsid w:val="00FA58A7"/>
    <w:rsid w:val="00FA7985"/>
    <w:rsid w:val="00FB02F3"/>
    <w:rsid w:val="00FC5424"/>
    <w:rsid w:val="00FC7AB0"/>
    <w:rsid w:val="00FD62B2"/>
    <w:rsid w:val="00FD644E"/>
    <w:rsid w:val="00FE10F3"/>
    <w:rsid w:val="00FE2D84"/>
    <w:rsid w:val="00FF367E"/>
    <w:rsid w:val="00FF56A7"/>
    <w:rsid w:val="575D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semiHidden/>
    <w:unhideWhenUsed/>
    <w:rsid w:val="00672413"/>
    <w:rPr>
      <w:color w:val="605E5C"/>
      <w:shd w:val="clear" w:color="auto" w:fill="E1DFDD"/>
    </w:rPr>
  </w:style>
  <w:style w:type="paragraph" w:styleId="Revision">
    <w:name w:val="Revision"/>
    <w:hidden/>
    <w:uiPriority w:val="99"/>
    <w:semiHidden/>
    <w:rsid w:val="007B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5291-ED1F-4B03-BE11-F0259FE6854C}">
  <ds:schemaRefs>
    <ds:schemaRef ds:uri="http://purl.org/dc/terms/"/>
    <ds:schemaRef ds:uri="http://schemas.openxmlformats.org/package/2006/metadata/core-properties"/>
    <ds:schemaRef ds:uri="http://schemas.microsoft.com/sharepoint/v3/fields"/>
    <ds:schemaRef ds:uri="http://schemas.microsoft.com/sharepoint/v3"/>
    <ds:schemaRef ds:uri="1b69afd8-9bdb-481b-b26a-06cbd17fa30c"/>
    <ds:schemaRef ds:uri="http://schemas.microsoft.com/office/2006/metadata/properties"/>
    <ds:schemaRef ds:uri="http://purl.org/dc/dcmitype/"/>
    <ds:schemaRef ds:uri="http://schemas.microsoft.com/office/infopath/2007/PartnerControls"/>
    <ds:schemaRef ds:uri="http://schemas.microsoft.com/office/2006/documentManagement/types"/>
    <ds:schemaRef ds:uri="a5d1ca4e-0a3f-4119-b619-e20b93ebd1aa"/>
    <ds:schemaRef ds:uri="http://schemas.microsoft.com/sharepoint.v3"/>
    <ds:schemaRef ds:uri="4ffa91fb-a0ff-4ac5-b2db-65c790d184a4"/>
    <ds:schemaRef ds:uri="http://www.w3.org/XML/1998/namespace"/>
    <ds:schemaRef ds:uri="http://purl.org/dc/elements/1.1/"/>
  </ds:schemaRefs>
</ds:datastoreItem>
</file>

<file path=customXml/itemProps2.xml><?xml version="1.0" encoding="utf-8"?>
<ds:datastoreItem xmlns:ds="http://schemas.openxmlformats.org/officeDocument/2006/customXml" ds:itemID="{A9D6652A-9C04-4189-92B4-79A0A4E73D5E}">
  <ds:schemaRefs>
    <ds:schemaRef ds:uri="http://schemas.openxmlformats.org/officeDocument/2006/bibliography"/>
  </ds:schemaRefs>
</ds:datastoreItem>
</file>

<file path=customXml/itemProps3.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4.xml><?xml version="1.0" encoding="utf-8"?>
<ds:datastoreItem xmlns:ds="http://schemas.openxmlformats.org/officeDocument/2006/customXml" ds:itemID="{23883112-5DD4-4AF3-99FE-BD068BE4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9C36F-FB7D-45C3-B76F-A96993AF2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16317</CharactersWithSpaces>
  <SharedDoc>false</SharedDoc>
  <HLinks>
    <vt:vector size="18" baseType="variant">
      <vt:variant>
        <vt:i4>7995501</vt:i4>
      </vt:variant>
      <vt:variant>
        <vt:i4>6</vt:i4>
      </vt:variant>
      <vt:variant>
        <vt:i4>0</vt:i4>
      </vt:variant>
      <vt:variant>
        <vt:i4>5</vt:i4>
      </vt:variant>
      <vt:variant>
        <vt:lpwstr>https://www.epa.gov/endangered-species/draft-revised-method-national-level-endangered-species-risk-assessment-process-</vt:lpwstr>
      </vt:variant>
      <vt:variant>
        <vt:lpwstr/>
      </vt:variant>
      <vt:variant>
        <vt:i4>1114191</vt:i4>
      </vt:variant>
      <vt:variant>
        <vt:i4>3</vt:i4>
      </vt:variant>
      <vt:variant>
        <vt:i4>0</vt:i4>
      </vt:variant>
      <vt:variant>
        <vt:i4>5</vt:i4>
      </vt:variant>
      <vt:variant>
        <vt:lpwstr>https://www.epa.gov/pesticide-science-and-assessing-pesticide-risks/models-pesticide-risk-assessment</vt:lpwstr>
      </vt:variant>
      <vt:variant>
        <vt:lpwstr/>
      </vt:variant>
      <vt:variant>
        <vt:i4>5701662</vt:i4>
      </vt:variant>
      <vt:variant>
        <vt:i4>0</vt:i4>
      </vt:variant>
      <vt:variant>
        <vt:i4>0</vt:i4>
      </vt:variant>
      <vt:variant>
        <vt:i4>5</vt:i4>
      </vt:variant>
      <vt:variant>
        <vt:lpwstr>https://www.epa.gov/endangered-species/draft-revised-method-national-level-endangered-species-risk-assessment-process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6</cp:revision>
  <dcterms:created xsi:type="dcterms:W3CDTF">2021-11-09T03:58:00Z</dcterms:created>
  <dcterms:modified xsi:type="dcterms:W3CDTF">2021-11-10T16:38:00Z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