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2C9802" w14:textId="7BD7B101" w:rsidR="00CC664F" w:rsidRDefault="00CC664F" w:rsidP="00CC664F">
      <w:pPr>
        <w:rPr>
          <w:b/>
          <w:color w:val="4472C4" w:themeColor="accent5"/>
          <w:sz w:val="32"/>
          <w:szCs w:val="32"/>
        </w:rPr>
      </w:pPr>
      <w:r>
        <w:rPr>
          <w:b/>
          <w:color w:val="4472C4" w:themeColor="accent5"/>
          <w:sz w:val="32"/>
          <w:szCs w:val="32"/>
        </w:rPr>
        <w:t>Carbaryl</w:t>
      </w:r>
      <w:r w:rsidRPr="00D279F4">
        <w:rPr>
          <w:b/>
          <w:color w:val="4472C4" w:themeColor="accent5"/>
          <w:sz w:val="32"/>
          <w:szCs w:val="32"/>
        </w:rPr>
        <w:t xml:space="preserve"> Executive Summary for </w:t>
      </w:r>
      <w:r w:rsidR="004F65C6">
        <w:rPr>
          <w:b/>
          <w:color w:val="4472C4" w:themeColor="accent5"/>
          <w:sz w:val="32"/>
          <w:szCs w:val="32"/>
        </w:rPr>
        <w:t xml:space="preserve">Final </w:t>
      </w:r>
      <w:r w:rsidR="00B01EBB">
        <w:rPr>
          <w:b/>
          <w:color w:val="4472C4" w:themeColor="accent5"/>
          <w:sz w:val="32"/>
          <w:szCs w:val="32"/>
        </w:rPr>
        <w:t>Biological Evaluation</w:t>
      </w:r>
    </w:p>
    <w:p w14:paraId="7768384A" w14:textId="77777777" w:rsidR="00330467" w:rsidRDefault="00330467"/>
    <w:p w14:paraId="400042D2" w14:textId="1D999E4C" w:rsidR="008322C6" w:rsidRDefault="00330467" w:rsidP="575D139D">
      <w:r>
        <w:t xml:space="preserve">This </w:t>
      </w:r>
      <w:r w:rsidR="005B5236">
        <w:t xml:space="preserve">Biological Evaluation </w:t>
      </w:r>
      <w:r w:rsidR="000F2DC8">
        <w:t xml:space="preserve">(BE) </w:t>
      </w:r>
      <w:r w:rsidR="005B5236">
        <w:t>assesses</w:t>
      </w:r>
      <w:r>
        <w:t xml:space="preserve"> </w:t>
      </w:r>
      <w:r w:rsidR="008322C6">
        <w:t xml:space="preserve">potential risks that </w:t>
      </w:r>
      <w:r>
        <w:t xml:space="preserve">registered uses of </w:t>
      </w:r>
      <w:r w:rsidR="005A7E2E">
        <w:t>carbaryl</w:t>
      </w:r>
      <w:r w:rsidR="00DF03C3">
        <w:t xml:space="preserve"> (PC code 0</w:t>
      </w:r>
      <w:r w:rsidR="00C06BE5">
        <w:t>56801</w:t>
      </w:r>
      <w:r>
        <w:t xml:space="preserve">) </w:t>
      </w:r>
      <w:r w:rsidR="0026396F">
        <w:t xml:space="preserve">may </w:t>
      </w:r>
      <w:r w:rsidR="008322C6">
        <w:t>pose</w:t>
      </w:r>
      <w:r w:rsidR="000F2DC8">
        <w:t xml:space="preserve"> </w:t>
      </w:r>
      <w:r>
        <w:t xml:space="preserve">to </w:t>
      </w:r>
      <w:r w:rsidR="000F2DC8">
        <w:t xml:space="preserve">an individual of a </w:t>
      </w:r>
      <w:r w:rsidR="00FF367E">
        <w:t xml:space="preserve">listed </w:t>
      </w:r>
      <w:r>
        <w:t>species or designated critical habitat</w:t>
      </w:r>
      <w:r w:rsidR="007166BF">
        <w:t xml:space="preserve">. </w:t>
      </w:r>
      <w:r w:rsidR="0082687E">
        <w:t xml:space="preserve">The federal action </w:t>
      </w:r>
      <w:r w:rsidR="0026396F">
        <w:t>considered in this BE is the</w:t>
      </w:r>
      <w:r w:rsidR="0082687E">
        <w:t xml:space="preserve"> Registration Review for carbaryl</w:t>
      </w:r>
      <w:r w:rsidR="0026396F">
        <w:t>, which</w:t>
      </w:r>
      <w:r w:rsidR="0082687E">
        <w:t xml:space="preserve"> encompasses the review of all the registered uses, and the approved product labels for all pesticide products containing carbaryl.   </w:t>
      </w:r>
    </w:p>
    <w:p w14:paraId="3CE683EE" w14:textId="77777777" w:rsidR="008322C6" w:rsidRDefault="008322C6" w:rsidP="575D139D"/>
    <w:p w14:paraId="6121C5ED" w14:textId="77777777" w:rsidR="00D8455E" w:rsidRDefault="00D8455E" w:rsidP="00D8455E">
      <w:pPr>
        <w:rPr>
          <w:rStyle w:val="eop"/>
        </w:rPr>
      </w:pPr>
      <w:r>
        <w:rPr>
          <w:rStyle w:val="eop"/>
        </w:rPr>
        <w:t>The term “l</w:t>
      </w:r>
      <w:r w:rsidRPr="575D139D">
        <w:rPr>
          <w:rStyle w:val="eop"/>
        </w:rPr>
        <w:t>isted species</w:t>
      </w:r>
      <w:r>
        <w:rPr>
          <w:rStyle w:val="eop"/>
        </w:rPr>
        <w:t>”</w:t>
      </w:r>
      <w:r w:rsidRPr="575D139D">
        <w:rPr>
          <w:rStyle w:val="eop"/>
        </w:rPr>
        <w:t xml:space="preserve"> include</w:t>
      </w:r>
      <w:r>
        <w:rPr>
          <w:rStyle w:val="eop"/>
        </w:rPr>
        <w:t>s</w:t>
      </w:r>
      <w:r w:rsidRPr="575D139D">
        <w:rPr>
          <w:rStyle w:val="eop"/>
        </w:rPr>
        <w:t xml:space="preserve"> those that are federally listed as endangered and threatened, as well as those that are proposed and candidates for listing and experimental populations. </w:t>
      </w:r>
      <w:r w:rsidRPr="575D139D">
        <w:t xml:space="preserve">The methods employed in this BE follow the </w:t>
      </w:r>
      <w:r w:rsidRPr="575D139D">
        <w:rPr>
          <w:rStyle w:val="normaltextrun"/>
        </w:rPr>
        <w:t>Revised Method</w:t>
      </w:r>
      <w:r w:rsidRPr="575D139D">
        <w:rPr>
          <w:rStyle w:val="eop"/>
        </w:rPr>
        <w:t> </w:t>
      </w:r>
      <w:r w:rsidRPr="575D139D">
        <w:rPr>
          <w:rStyle w:val="normaltextrun"/>
        </w:rPr>
        <w:t>for National Level Listed Species Biological Evaluations of Conventional Pesticides</w:t>
      </w:r>
      <w:r w:rsidRPr="575D139D">
        <w:rPr>
          <w:rStyle w:val="eop"/>
        </w:rPr>
        <w:t> (referred to as the “Revised Method”)</w:t>
      </w:r>
      <w:r w:rsidRPr="575D139D">
        <w:rPr>
          <w:rStyle w:val="FootnoteReference"/>
        </w:rPr>
        <w:footnoteReference w:id="2"/>
      </w:r>
      <w:r w:rsidRPr="575D139D">
        <w:rPr>
          <w:rStyle w:val="eop"/>
        </w:rPr>
        <w:t>.</w:t>
      </w:r>
      <w:r w:rsidRPr="00EB33B0">
        <w:t xml:space="preserve"> </w:t>
      </w:r>
      <w:r>
        <w:t>The Revised Method incorporates input from the public, US Fish and Wildlife Service (FWS), National Marine Fisheries Service (NMFS) and US Department of Agriculture (USDA).</w:t>
      </w:r>
    </w:p>
    <w:p w14:paraId="00F34A55" w14:textId="4BB9BE6C" w:rsidR="00CD3692" w:rsidRDefault="00CD3692" w:rsidP="00CD3692"/>
    <w:p w14:paraId="7550FD08" w14:textId="15ABD410" w:rsidR="007505C3" w:rsidRDefault="0082687E" w:rsidP="25EBD91D">
      <w:pPr>
        <w:rPr>
          <w:rFonts w:eastAsiaTheme="minorEastAsia"/>
        </w:rPr>
      </w:pPr>
      <w:r w:rsidRPr="25EBD91D">
        <w:rPr>
          <w:rStyle w:val="eop"/>
        </w:rPr>
        <w:t xml:space="preserve">As described in the Revised Method, </w:t>
      </w:r>
      <w:r w:rsidR="009174AE" w:rsidRPr="25EBD91D">
        <w:rPr>
          <w:rStyle w:val="eop"/>
        </w:rPr>
        <w:t xml:space="preserve">EPA’s development of this </w:t>
      </w:r>
      <w:r w:rsidR="0026396F" w:rsidRPr="25EBD91D">
        <w:rPr>
          <w:rStyle w:val="eop"/>
        </w:rPr>
        <w:t>BE includes two steps.</w:t>
      </w:r>
      <w:r w:rsidRPr="25EBD91D">
        <w:rPr>
          <w:rStyle w:val="eop"/>
        </w:rPr>
        <w:t xml:space="preserve"> </w:t>
      </w:r>
      <w:r w:rsidR="0026396F" w:rsidRPr="25EBD91D">
        <w:rPr>
          <w:rStyle w:val="eop"/>
        </w:rPr>
        <w:t>The BE includes an evaluation of</w:t>
      </w:r>
      <w:r w:rsidRPr="25EBD91D">
        <w:rPr>
          <w:rFonts w:eastAsiaTheme="minorEastAsia"/>
        </w:rPr>
        <w:t xml:space="preserve"> whether an individual of a listed species is reasonably expected to be exposed to a pesticide</w:t>
      </w:r>
      <w:r w:rsidR="009174AE" w:rsidRPr="25EBD91D">
        <w:rPr>
          <w:rFonts w:eastAsiaTheme="minorEastAsia"/>
        </w:rPr>
        <w:t xml:space="preserve"> at a level that results in a discernable effect</w:t>
      </w:r>
      <w:r w:rsidRPr="25EBD91D">
        <w:rPr>
          <w:rFonts w:eastAsiaTheme="minorEastAsia"/>
        </w:rPr>
        <w:t xml:space="preserve">, and, if so, distinguishes effects that are likely to adversely affect an individual of a species from those that are not likely to adversely affect an individual. This process is also applied to the designated critical habitat of listed species (when available). In Step 1, for every listed species and designated critical habitat, EPA determines whether carbaryl will have No Effect (NE) or May Affect (MA) (separate determinations made for each species and critical habitat). </w:t>
      </w:r>
      <w:r w:rsidR="0026396F" w:rsidRPr="25EBD91D">
        <w:rPr>
          <w:rFonts w:eastAsiaTheme="minorEastAsia"/>
        </w:rPr>
        <w:t>F</w:t>
      </w:r>
      <w:r w:rsidRPr="25EBD91D">
        <w:rPr>
          <w:rFonts w:eastAsiaTheme="minorEastAsia"/>
        </w:rPr>
        <w:t xml:space="preserve">or those species and critical habitats with MA determinations, </w:t>
      </w:r>
      <w:r w:rsidR="0026396F" w:rsidRPr="25EBD91D">
        <w:rPr>
          <w:rFonts w:eastAsiaTheme="minorEastAsia"/>
        </w:rPr>
        <w:t xml:space="preserve">in Step 2, </w:t>
      </w:r>
      <w:r w:rsidRPr="25EBD91D">
        <w:rPr>
          <w:rFonts w:eastAsiaTheme="minorEastAsia"/>
        </w:rPr>
        <w:t xml:space="preserve">EPA will determine if carbaryl is Not Likely to Adversely Affect (NLAA) or Likely to Adversely Affect (LAA) </w:t>
      </w:r>
      <w:r w:rsidR="366E7CB3" w:rsidRPr="25EBD91D">
        <w:rPr>
          <w:rFonts w:eastAsiaTheme="minorEastAsia"/>
        </w:rPr>
        <w:t xml:space="preserve">an </w:t>
      </w:r>
      <w:r w:rsidRPr="25EBD91D">
        <w:rPr>
          <w:rFonts w:eastAsiaTheme="minorEastAsia"/>
        </w:rPr>
        <w:t>individual species or critical habitat. Details on the method, models and tools used for making NE, NLAA and LAA determinations are provided in the Revised Method</w:t>
      </w:r>
      <w:r w:rsidR="0026396F" w:rsidRPr="25EBD91D">
        <w:rPr>
          <w:rFonts w:eastAsiaTheme="minorEastAsia"/>
        </w:rPr>
        <w:t xml:space="preserve"> document</w:t>
      </w:r>
      <w:r w:rsidRPr="25EBD91D">
        <w:rPr>
          <w:rFonts w:eastAsiaTheme="minorEastAsia"/>
        </w:rPr>
        <w:t>.</w:t>
      </w:r>
    </w:p>
    <w:p w14:paraId="0DC33F7F" w14:textId="1667A5BC" w:rsidR="00E17D6B" w:rsidRDefault="00E17D6B" w:rsidP="00CE1C66">
      <w:pPr>
        <w:rPr>
          <w:rFonts w:eastAsiaTheme="minorEastAsia"/>
        </w:rPr>
      </w:pPr>
    </w:p>
    <w:p w14:paraId="2ADE819D" w14:textId="0B16E919" w:rsidR="00484D23" w:rsidRDefault="00484D23" w:rsidP="00CE1C66">
      <w:pPr>
        <w:rPr>
          <w:rFonts w:eastAsiaTheme="minorEastAsia"/>
        </w:rPr>
      </w:pPr>
      <w:r w:rsidRPr="25EBD91D">
        <w:rPr>
          <w:color w:val="212121"/>
        </w:rPr>
        <w:t xml:space="preserve">In March 2020, EPA released the Revised Method for National Level Listed Species Biological Evaluations (BEs) of Conventional Pesticides. EPA used the Revised Method to conduct the draft BEs for carbaryl. </w:t>
      </w:r>
      <w:r w:rsidRPr="25EBD91D">
        <w:t xml:space="preserve">On March 17, 2020, EPA released the draft BE for carbaryl for public comment.  EPA received public comments on the proposed Revised Method and the carbaryl BE through July 2, 2020, which included a 45-day extension of the original public comment period.  Updates to the </w:t>
      </w:r>
      <w:r w:rsidR="00E346D7" w:rsidRPr="25EBD91D">
        <w:t>R</w:t>
      </w:r>
      <w:r w:rsidRPr="25EBD91D">
        <w:t xml:space="preserve">evised </w:t>
      </w:r>
      <w:r w:rsidR="00E346D7" w:rsidRPr="25EBD91D">
        <w:t>M</w:t>
      </w:r>
      <w:r w:rsidRPr="25EBD91D">
        <w:t xml:space="preserve">ethod and </w:t>
      </w:r>
      <w:r w:rsidR="00BE19AB">
        <w:t xml:space="preserve">updates </w:t>
      </w:r>
      <w:r w:rsidR="009D1AFB">
        <w:t xml:space="preserve">that were </w:t>
      </w:r>
      <w:r w:rsidRPr="25EBD91D">
        <w:t>specific to carbaryl were implemented in the final BE.</w:t>
      </w:r>
    </w:p>
    <w:p w14:paraId="52A4FB41" w14:textId="77777777" w:rsidR="00C76A8B" w:rsidRDefault="00C76A8B" w:rsidP="00CE1C66"/>
    <w:p w14:paraId="6DC61047" w14:textId="4FB7E17A" w:rsidR="00641ABE" w:rsidRPr="00A47034" w:rsidRDefault="00641ABE" w:rsidP="0098319A">
      <w:pPr>
        <w:pStyle w:val="Heading1"/>
      </w:pPr>
      <w:r w:rsidRPr="00E06F80">
        <w:t>General Information</w:t>
      </w:r>
    </w:p>
    <w:p w14:paraId="4B0CD0D6" w14:textId="77777777" w:rsidR="00761978" w:rsidRDefault="00761978" w:rsidP="00761978"/>
    <w:p w14:paraId="6A50B12E" w14:textId="230873D4" w:rsidR="00DF03C3" w:rsidRDefault="0061209B" w:rsidP="0045224D">
      <w:r w:rsidRPr="00DD0C13">
        <w:t xml:space="preserve">Carbaryl is used on a wide variety of terrestrial food and feed </w:t>
      </w:r>
      <w:r w:rsidRPr="41EAB5D7">
        <w:t xml:space="preserve">crops, as well as uses in turf management, ornamental production, rangeland, and residential settings. </w:t>
      </w:r>
      <w:r w:rsidRPr="41EAB5D7">
        <w:rPr>
          <w:color w:val="0C1510"/>
        </w:rPr>
        <w:t>Additionally, carbaryl is used to thin fruit in orchards to enhance fruit size and enhance repeat bloom. Carbaryl is also used to control mud and ghost shrimp in commercial shrimp ponds in Texas.</w:t>
      </w:r>
      <w:r w:rsidRPr="41EAB5D7">
        <w:t xml:space="preserve"> There</w:t>
      </w:r>
      <w:r w:rsidRPr="00DD0C13">
        <w:t xml:space="preserve"> are currently five active technical registrants of carbaryl with </w:t>
      </w:r>
      <w:r w:rsidDel="0061209B">
        <w:t>61</w:t>
      </w:r>
      <w:r w:rsidRPr="00DD0C13">
        <w:t xml:space="preserve"> active product </w:t>
      </w:r>
      <w:r>
        <w:t>registrations</w:t>
      </w:r>
      <w:r w:rsidRPr="00DD0C13">
        <w:t xml:space="preserve"> (</w:t>
      </w:r>
      <w:r w:rsidDel="0061209B">
        <w:t>60</w:t>
      </w:r>
      <w:r w:rsidRPr="00F04F96">
        <w:t xml:space="preserve"> Section 3s and 1 Special Local Needs)</w:t>
      </w:r>
      <w:r w:rsidRPr="41EAB5D7">
        <w:t>,</w:t>
      </w:r>
      <w:r w:rsidRPr="00DD0C13">
        <w:t xml:space="preserve"> which include formulated products (</w:t>
      </w:r>
      <w:r w:rsidRPr="41EAB5D7">
        <w:rPr>
          <w:b/>
          <w:bCs/>
        </w:rPr>
        <w:t>APPENDIX 1-1</w:t>
      </w:r>
      <w:r w:rsidRPr="00DD0C13">
        <w:t>). Carbaryl can be applied in liquid (</w:t>
      </w:r>
      <w:r w:rsidRPr="373C9264">
        <w:rPr>
          <w:i/>
          <w:iCs/>
        </w:rPr>
        <w:t>i.e</w:t>
      </w:r>
      <w:r w:rsidRPr="00DD0C13">
        <w:t>., flowable concentrate, emulsifiable concentrate, wettable powder, water soluble powder), bait, granular, or dust forms.  Aerial and ground application methods are allowed, as are pressure sprayers, dust applicators, spreaders and shank applicators, and baits</w:t>
      </w:r>
      <w:r w:rsidR="005E50A2">
        <w:t xml:space="preserve"> (see </w:t>
      </w:r>
      <w:r w:rsidR="005E50A2">
        <w:rPr>
          <w:b/>
          <w:bCs/>
        </w:rPr>
        <w:t xml:space="preserve">APPENDIX 1-2 </w:t>
      </w:r>
      <w:r w:rsidR="005E50A2">
        <w:t>for details)</w:t>
      </w:r>
      <w:r w:rsidRPr="00DD0C13">
        <w:t>.</w:t>
      </w:r>
    </w:p>
    <w:p w14:paraId="402FA7BE" w14:textId="7F4302E1" w:rsidR="00DB634B" w:rsidRDefault="00DB634B" w:rsidP="0045224D"/>
    <w:p w14:paraId="4C2ABF24" w14:textId="027EA467" w:rsidR="00DB634B" w:rsidRDefault="00DB634B" w:rsidP="00DB634B">
      <w:pPr>
        <w:rPr>
          <w:highlight w:val="yellow"/>
        </w:rPr>
      </w:pPr>
      <w:r w:rsidRPr="78A3B47B">
        <w:rPr>
          <w:rFonts w:ascii="Calibri" w:eastAsia="Calibri" w:hAnsi="Calibri" w:cs="Calibri"/>
        </w:rPr>
        <w:t xml:space="preserve">This BE </w:t>
      </w:r>
      <w:proofErr w:type="gramStart"/>
      <w:r w:rsidRPr="78A3B47B">
        <w:rPr>
          <w:rFonts w:ascii="Calibri" w:eastAsia="Calibri" w:hAnsi="Calibri" w:cs="Calibri"/>
        </w:rPr>
        <w:t>assesses</w:t>
      </w:r>
      <w:proofErr w:type="gramEnd"/>
      <w:r w:rsidRPr="78A3B47B">
        <w:rPr>
          <w:rFonts w:ascii="Calibri" w:eastAsia="Calibri" w:hAnsi="Calibri" w:cs="Calibri"/>
        </w:rPr>
        <w:t xml:space="preserve"> all currently registered labels. </w:t>
      </w:r>
      <w:r w:rsidRPr="00D50421">
        <w:rPr>
          <w:rFonts w:ascii="Calibri" w:eastAsia="Calibri" w:hAnsi="Calibri" w:cs="Calibri"/>
          <w:b/>
          <w:bCs/>
        </w:rPr>
        <w:t>APPENDIX 1-2</w:t>
      </w:r>
      <w:r w:rsidRPr="78A3B47B">
        <w:rPr>
          <w:rFonts w:ascii="Calibri" w:eastAsia="Calibri" w:hAnsi="Calibri" w:cs="Calibri"/>
        </w:rPr>
        <w:t xml:space="preserve"> </w:t>
      </w:r>
      <w:r w:rsidR="00BF34F1">
        <w:rPr>
          <w:rFonts w:ascii="Calibri" w:eastAsia="Calibri" w:hAnsi="Calibri" w:cs="Calibri"/>
        </w:rPr>
        <w:t>provides the master use summary table summarizing all currently registered use patterns.</w:t>
      </w:r>
      <w:r w:rsidRPr="00D50421">
        <w:rPr>
          <w:rFonts w:ascii="Calibri" w:eastAsia="Calibri" w:hAnsi="Calibri" w:cs="Calibri"/>
          <w:b/>
          <w:bCs/>
        </w:rPr>
        <w:t xml:space="preserve"> APPENDICES 1-</w:t>
      </w:r>
      <w:r w:rsidR="00C25C01">
        <w:rPr>
          <w:rFonts w:ascii="Calibri" w:eastAsia="Calibri" w:hAnsi="Calibri" w:cs="Calibri"/>
          <w:b/>
          <w:bCs/>
        </w:rPr>
        <w:t>3</w:t>
      </w:r>
      <w:r w:rsidRPr="78A3B47B">
        <w:rPr>
          <w:rFonts w:ascii="Calibri" w:eastAsia="Calibri" w:hAnsi="Calibri" w:cs="Calibri"/>
        </w:rPr>
        <w:t xml:space="preserve"> and </w:t>
      </w:r>
      <w:r w:rsidRPr="00D50421">
        <w:rPr>
          <w:rFonts w:ascii="Calibri" w:eastAsia="Calibri" w:hAnsi="Calibri" w:cs="Calibri"/>
          <w:b/>
          <w:bCs/>
        </w:rPr>
        <w:t>3-1</w:t>
      </w:r>
      <w:r w:rsidRPr="78A3B47B">
        <w:rPr>
          <w:rFonts w:ascii="Calibri" w:eastAsia="Calibri" w:hAnsi="Calibri" w:cs="Calibri"/>
        </w:rPr>
        <w:t xml:space="preserve"> provide additional details on how these uses were modeled.</w:t>
      </w:r>
    </w:p>
    <w:p w14:paraId="48D2704B" w14:textId="77777777" w:rsidR="00DB634B" w:rsidRDefault="00DB634B" w:rsidP="0045224D"/>
    <w:p w14:paraId="14054E7D" w14:textId="2811A4F9" w:rsidR="00F45B82" w:rsidRPr="00F55E85" w:rsidRDefault="00C06BE5" w:rsidP="5492847D">
      <w:pPr>
        <w:rPr>
          <w:rFonts w:ascii="Calibri" w:eastAsia="Calibri" w:hAnsi="Calibri" w:cs="Calibri"/>
          <w:color w:val="000000"/>
        </w:rPr>
      </w:pPr>
      <w:r>
        <w:t xml:space="preserve">Carbaryl </w:t>
      </w:r>
      <w:r w:rsidR="00F45B82">
        <w:t>enter</w:t>
      </w:r>
      <w:r w:rsidR="00242799">
        <w:t>s</w:t>
      </w:r>
      <w:r w:rsidR="00F45B82">
        <w:t xml:space="preserve"> the environment via direct application to use sites. It ma</w:t>
      </w:r>
      <w:r w:rsidR="005A2C5D">
        <w:t>y move off-site via spray drift</w:t>
      </w:r>
      <w:r w:rsidR="00F45B82">
        <w:t xml:space="preserve"> and runoff</w:t>
      </w:r>
      <w:r w:rsidR="00C20F1A">
        <w:t xml:space="preserve">. </w:t>
      </w:r>
      <w:r w:rsidR="00C20F1A" w:rsidRPr="5492847D">
        <w:rPr>
          <w:rFonts w:ascii="Calibri" w:eastAsia="Calibri" w:hAnsi="Calibri" w:cs="Calibri"/>
          <w:color w:val="000000" w:themeColor="text1"/>
        </w:rPr>
        <w:t xml:space="preserve"> </w:t>
      </w:r>
      <w:r w:rsidR="00C20F1A">
        <w:t xml:space="preserve">Major routes of carbaryl transformation in the environment include alkaline hydrolysis, photolysis in water, and soil and aerobic aquatic metabolism. </w:t>
      </w:r>
      <w:r w:rsidR="0045224D" w:rsidRPr="5492847D">
        <w:rPr>
          <w:rFonts w:ascii="Calibri" w:eastAsia="Calibri" w:hAnsi="Calibri" w:cs="Calibri"/>
          <w:color w:val="000000" w:themeColor="text1"/>
        </w:rPr>
        <w:t>Abiotic hydrolysis under acidic conditions</w:t>
      </w:r>
      <w:r w:rsidR="00C20F1A" w:rsidRPr="5492847D">
        <w:rPr>
          <w:rFonts w:ascii="Calibri" w:eastAsia="Calibri" w:hAnsi="Calibri" w:cs="Calibri"/>
          <w:color w:val="000000" w:themeColor="text1"/>
        </w:rPr>
        <w:t xml:space="preserve"> and</w:t>
      </w:r>
      <w:r w:rsidR="009325C0" w:rsidRPr="5492847D">
        <w:rPr>
          <w:rFonts w:ascii="Calibri" w:eastAsia="Calibri" w:hAnsi="Calibri" w:cs="Calibri"/>
          <w:color w:val="000000" w:themeColor="text1"/>
        </w:rPr>
        <w:t xml:space="preserve"> </w:t>
      </w:r>
      <w:r w:rsidR="00C17A63" w:rsidRPr="5492847D">
        <w:rPr>
          <w:rFonts w:ascii="Calibri" w:eastAsia="Calibri" w:hAnsi="Calibri" w:cs="Calibri"/>
          <w:color w:val="000000" w:themeColor="text1"/>
        </w:rPr>
        <w:t>anaerobic metabolism</w:t>
      </w:r>
      <w:r w:rsidR="0045224D" w:rsidRPr="5492847D">
        <w:rPr>
          <w:rFonts w:ascii="Calibri" w:eastAsia="Calibri" w:hAnsi="Calibri" w:cs="Calibri"/>
          <w:color w:val="000000" w:themeColor="text1"/>
        </w:rPr>
        <w:t xml:space="preserve"> do not seem to play a significant role in the degradation and dissipation processes. Information on leaching and adsorption/desorption indicate that </w:t>
      </w:r>
      <w:r w:rsidR="00441872" w:rsidRPr="5492847D">
        <w:rPr>
          <w:rFonts w:ascii="Calibri" w:eastAsia="Calibri" w:hAnsi="Calibri" w:cs="Calibri"/>
          <w:color w:val="000000" w:themeColor="text1"/>
        </w:rPr>
        <w:t xml:space="preserve">carbaryl </w:t>
      </w:r>
      <w:r w:rsidR="0045224D" w:rsidRPr="5492847D">
        <w:rPr>
          <w:rFonts w:ascii="Calibri" w:eastAsia="Calibri" w:hAnsi="Calibri" w:cs="Calibri"/>
          <w:color w:val="000000" w:themeColor="text1"/>
        </w:rPr>
        <w:t xml:space="preserve">is considered </w:t>
      </w:r>
      <w:r w:rsidR="00C17A63" w:rsidRPr="5492847D">
        <w:rPr>
          <w:rFonts w:ascii="Calibri" w:eastAsia="Calibri" w:hAnsi="Calibri" w:cs="Calibri"/>
          <w:color w:val="000000" w:themeColor="text1"/>
        </w:rPr>
        <w:t xml:space="preserve">moderately </w:t>
      </w:r>
      <w:r w:rsidR="0045224D" w:rsidRPr="5492847D">
        <w:rPr>
          <w:rFonts w:ascii="Calibri" w:eastAsia="Calibri" w:hAnsi="Calibri" w:cs="Calibri"/>
          <w:color w:val="000000" w:themeColor="text1"/>
        </w:rPr>
        <w:t>mobile</w:t>
      </w:r>
      <w:r w:rsidR="00615B53" w:rsidRPr="5492847D">
        <w:rPr>
          <w:rFonts w:ascii="Calibri" w:eastAsia="Calibri" w:hAnsi="Calibri" w:cs="Calibri"/>
          <w:color w:val="000000" w:themeColor="text1"/>
        </w:rPr>
        <w:t xml:space="preserve">. </w:t>
      </w:r>
      <w:r w:rsidR="00274175" w:rsidRPr="5492847D">
        <w:rPr>
          <w:rFonts w:eastAsia="Calibri" w:cs="Calibri"/>
          <w:color w:val="000000" w:themeColor="text1"/>
        </w:rPr>
        <w:t xml:space="preserve">The </w:t>
      </w:r>
      <w:r w:rsidR="00856C0A">
        <w:rPr>
          <w:rFonts w:eastAsia="Calibri" w:cs="Calibri"/>
          <w:color w:val="000000" w:themeColor="text1"/>
        </w:rPr>
        <w:t xml:space="preserve">logarithm </w:t>
      </w:r>
      <w:r w:rsidR="0045224D" w:rsidRPr="5492847D">
        <w:rPr>
          <w:rFonts w:eastAsia="Calibri" w:cs="Calibri"/>
          <w:color w:val="000000" w:themeColor="text1"/>
        </w:rPr>
        <w:t>octanol</w:t>
      </w:r>
      <w:r w:rsidR="003F770C" w:rsidRPr="5492847D">
        <w:rPr>
          <w:rFonts w:eastAsia="Calibri" w:cs="Calibri"/>
          <w:color w:val="000000" w:themeColor="text1"/>
        </w:rPr>
        <w:t>-</w:t>
      </w:r>
      <w:r w:rsidR="0045224D" w:rsidRPr="5492847D">
        <w:rPr>
          <w:rFonts w:eastAsia="Calibri" w:cs="Calibri"/>
          <w:color w:val="000000" w:themeColor="text1"/>
        </w:rPr>
        <w:t>water partition coefficient (log K</w:t>
      </w:r>
      <w:r w:rsidR="0045224D" w:rsidRPr="5492847D">
        <w:rPr>
          <w:rFonts w:eastAsia="Calibri" w:cs="Calibri"/>
          <w:color w:val="000000" w:themeColor="text1"/>
          <w:vertAlign w:val="subscript"/>
        </w:rPr>
        <w:t>ow</w:t>
      </w:r>
      <w:r w:rsidR="0045224D" w:rsidRPr="5492847D">
        <w:rPr>
          <w:rFonts w:eastAsia="Calibri" w:cs="Calibri"/>
          <w:color w:val="000000" w:themeColor="text1"/>
        </w:rPr>
        <w:t xml:space="preserve"> </w:t>
      </w:r>
      <w:r w:rsidR="00C17A63" w:rsidRPr="5492847D">
        <w:rPr>
          <w:rFonts w:eastAsia="Calibri" w:cs="Calibri"/>
          <w:color w:val="000000" w:themeColor="text1"/>
        </w:rPr>
        <w:t>2.36</w:t>
      </w:r>
      <w:r w:rsidR="0045224D" w:rsidRPr="5492847D">
        <w:rPr>
          <w:rFonts w:eastAsia="Calibri" w:cs="Calibri"/>
          <w:color w:val="000000" w:themeColor="text1"/>
        </w:rPr>
        <w:t xml:space="preserve">) suggests that </w:t>
      </w:r>
      <w:r w:rsidR="00547D02">
        <w:rPr>
          <w:rFonts w:eastAsia="Calibri" w:cs="Calibri"/>
          <w:color w:val="000000" w:themeColor="text1"/>
        </w:rPr>
        <w:t>carbaryl has</w:t>
      </w:r>
      <w:r w:rsidR="0045224D" w:rsidRPr="5492847D">
        <w:rPr>
          <w:rFonts w:eastAsia="Calibri" w:cs="Calibri"/>
          <w:color w:val="000000" w:themeColor="text1"/>
        </w:rPr>
        <w:t xml:space="preserve"> a low tendency to accumulate in aquatic and terrestrial organisms. </w:t>
      </w:r>
      <w:r w:rsidR="00C17A63">
        <w:t xml:space="preserve">Carbaryl </w:t>
      </w:r>
      <w:r w:rsidR="005A2C5D">
        <w:t>has no degradates that are</w:t>
      </w:r>
      <w:r w:rsidR="00F45B82">
        <w:t xml:space="preserve"> considered residues of toxicological concern</w:t>
      </w:r>
      <w:r w:rsidR="00EE1292">
        <w:t>.</w:t>
      </w:r>
    </w:p>
    <w:p w14:paraId="2AA0BC6C" w14:textId="77777777" w:rsidR="00761978" w:rsidRPr="00761978" w:rsidRDefault="00761978" w:rsidP="0045224D"/>
    <w:p w14:paraId="736938BF" w14:textId="2C548EBC" w:rsidR="00761978" w:rsidRDefault="00C06BE5" w:rsidP="0045224D">
      <w:pPr>
        <w:rPr>
          <w:rFonts w:ascii="Calibri" w:eastAsia="Calibri" w:hAnsi="Calibri" w:cs="Calibri"/>
          <w:color w:val="000000"/>
        </w:rPr>
      </w:pPr>
      <w:r w:rsidRPr="25EBD91D">
        <w:rPr>
          <w:rFonts w:ascii="Calibri" w:eastAsia="Calibri" w:hAnsi="Calibri" w:cs="Calibri"/>
          <w:color w:val="000000" w:themeColor="text1"/>
        </w:rPr>
        <w:t>Carbaryl</w:t>
      </w:r>
      <w:r w:rsidR="005A2C5D" w:rsidRPr="25EBD91D">
        <w:rPr>
          <w:rFonts w:ascii="Calibri" w:eastAsia="Calibri" w:hAnsi="Calibri" w:cs="Calibri"/>
          <w:color w:val="000000" w:themeColor="text1"/>
        </w:rPr>
        <w:t xml:space="preserve"> is an </w:t>
      </w:r>
      <w:r w:rsidR="00BD5C3E" w:rsidRPr="25EBD91D">
        <w:rPr>
          <w:rFonts w:ascii="Calibri" w:eastAsia="Calibri" w:hAnsi="Calibri" w:cs="Calibri"/>
          <w:color w:val="000000" w:themeColor="text1"/>
        </w:rPr>
        <w:t>N-methylcarbamate insecticide</w:t>
      </w:r>
      <w:r w:rsidR="005E521C" w:rsidRPr="25EBD91D">
        <w:rPr>
          <w:rFonts w:ascii="Calibri" w:eastAsia="Calibri" w:hAnsi="Calibri" w:cs="Calibri"/>
          <w:color w:val="000000" w:themeColor="text1"/>
        </w:rPr>
        <w:t xml:space="preserve"> which</w:t>
      </w:r>
      <w:r w:rsidR="005A2C5D" w:rsidRPr="25EBD91D">
        <w:rPr>
          <w:rFonts w:ascii="Calibri" w:eastAsia="Calibri" w:hAnsi="Calibri" w:cs="Calibri"/>
          <w:color w:val="000000" w:themeColor="text1"/>
        </w:rPr>
        <w:t xml:space="preserve"> act</w:t>
      </w:r>
      <w:r w:rsidR="78A5C351" w:rsidRPr="25EBD91D">
        <w:rPr>
          <w:rFonts w:ascii="Calibri" w:eastAsia="Calibri" w:hAnsi="Calibri" w:cs="Calibri"/>
          <w:color w:val="000000" w:themeColor="text1"/>
        </w:rPr>
        <w:t>s</w:t>
      </w:r>
      <w:r w:rsidR="005A2C5D" w:rsidRPr="25EBD91D">
        <w:rPr>
          <w:rFonts w:ascii="Calibri" w:eastAsia="Calibri" w:hAnsi="Calibri" w:cs="Calibri"/>
          <w:color w:val="000000" w:themeColor="text1"/>
        </w:rPr>
        <w:t xml:space="preserve"> by inhibiting acetylcholinesterase, thereby reducing the degradation of the cholinergic neurotransmitter acetylcholine. As a result, inter</w:t>
      </w:r>
      <w:r w:rsidR="00F419A0" w:rsidRPr="25EBD91D">
        <w:rPr>
          <w:rFonts w:ascii="Calibri" w:eastAsia="Calibri" w:hAnsi="Calibri" w:cs="Calibri"/>
          <w:color w:val="000000" w:themeColor="text1"/>
        </w:rPr>
        <w:t>-</w:t>
      </w:r>
      <w:r w:rsidR="005A2C5D" w:rsidRPr="25EBD91D">
        <w:rPr>
          <w:rFonts w:ascii="Calibri" w:eastAsia="Calibri" w:hAnsi="Calibri" w:cs="Calibri"/>
          <w:color w:val="000000" w:themeColor="text1"/>
        </w:rPr>
        <w:t>synaptic concentrations of acetylcholine increase as the neurotransmitter accumulates leading to increased firin</w:t>
      </w:r>
      <w:r w:rsidR="0045224D" w:rsidRPr="25EBD91D">
        <w:rPr>
          <w:rFonts w:ascii="Calibri" w:eastAsia="Calibri" w:hAnsi="Calibri" w:cs="Calibri"/>
          <w:color w:val="000000" w:themeColor="text1"/>
        </w:rPr>
        <w:t xml:space="preserve">g of the postsynaptic neurons which may </w:t>
      </w:r>
      <w:r w:rsidR="005A2C5D" w:rsidRPr="25EBD91D">
        <w:rPr>
          <w:rFonts w:ascii="Calibri" w:eastAsia="Calibri" w:hAnsi="Calibri" w:cs="Calibri"/>
          <w:color w:val="000000" w:themeColor="text1"/>
        </w:rPr>
        <w:t>lead to convulsions, paralysis, and death of an organism exposed to the chemical. Acetylcholinesterase inhibition is rapidly reversed in many taxa once exposure to an N-methylcarbamate insecticide has ended.</w:t>
      </w:r>
      <w:r w:rsidR="0045224D" w:rsidRPr="25EBD91D">
        <w:rPr>
          <w:rFonts w:ascii="Calibri" w:eastAsia="Calibri" w:hAnsi="Calibri" w:cs="Calibri"/>
          <w:color w:val="000000" w:themeColor="text1"/>
        </w:rPr>
        <w:t xml:space="preserve"> </w:t>
      </w:r>
      <w:r w:rsidR="00122436" w:rsidRPr="25EBD91D">
        <w:rPr>
          <w:rFonts w:ascii="Calibri" w:eastAsia="Calibri" w:hAnsi="Calibri" w:cs="Calibri"/>
          <w:color w:val="000000" w:themeColor="text1"/>
        </w:rPr>
        <w:t xml:space="preserve">Carbaryl is also used to thin </w:t>
      </w:r>
      <w:r w:rsidR="005E521C" w:rsidRPr="25EBD91D">
        <w:rPr>
          <w:rFonts w:ascii="Calibri" w:eastAsia="Calibri" w:hAnsi="Calibri" w:cs="Calibri"/>
          <w:color w:val="000000" w:themeColor="text1"/>
        </w:rPr>
        <w:t xml:space="preserve">blossoms </w:t>
      </w:r>
      <w:r w:rsidR="00122436" w:rsidRPr="25EBD91D">
        <w:rPr>
          <w:rFonts w:ascii="Calibri" w:eastAsia="Calibri" w:hAnsi="Calibri" w:cs="Calibri"/>
          <w:color w:val="000000" w:themeColor="text1"/>
        </w:rPr>
        <w:t xml:space="preserve">in orchards; its activity in the abscission of flower buds may be related to its structural similarity to plant auxins, such as α-naphthalene acetic acid. </w:t>
      </w:r>
      <w:r w:rsidR="00A77451" w:rsidRPr="25EBD91D">
        <w:rPr>
          <w:color w:val="000000" w:themeColor="text1"/>
        </w:rPr>
        <w:t xml:space="preserve">Additional details on the fate of carbaryl are provided in </w:t>
      </w:r>
      <w:r w:rsidR="00A77451" w:rsidRPr="00EE1292">
        <w:rPr>
          <w:b/>
          <w:bCs/>
          <w:color w:val="000000" w:themeColor="text1"/>
        </w:rPr>
        <w:t>Chapter 3</w:t>
      </w:r>
      <w:r w:rsidR="00A77451" w:rsidRPr="25EBD91D">
        <w:rPr>
          <w:color w:val="000000" w:themeColor="text1"/>
        </w:rPr>
        <w:t xml:space="preserve"> of the Biological Evaluation.</w:t>
      </w:r>
    </w:p>
    <w:p w14:paraId="30A11946" w14:textId="2F536C45" w:rsidR="000B4CBE" w:rsidRDefault="000B4CBE" w:rsidP="0045224D">
      <w:pPr>
        <w:rPr>
          <w:rFonts w:ascii="Calibri" w:eastAsia="Calibri" w:hAnsi="Calibri" w:cs="Calibri"/>
          <w:color w:val="000000"/>
        </w:rPr>
      </w:pPr>
    </w:p>
    <w:p w14:paraId="64F00F28" w14:textId="59454FCB" w:rsidR="00D8211E" w:rsidRDefault="00393A4D" w:rsidP="0045224D">
      <w:r>
        <w:t>Carbaryl is practically nontoxic to birds</w:t>
      </w:r>
      <w:r w:rsidR="00CA023E">
        <w:t xml:space="preserve"> and moderately toxic to mammals</w:t>
      </w:r>
      <w:r w:rsidR="00D8211E">
        <w:t xml:space="preserve"> on an acute exposure basis</w:t>
      </w:r>
      <w:r>
        <w:t>.</w:t>
      </w:r>
      <w:r w:rsidR="00D8211E">
        <w:t xml:space="preserve"> However,</w:t>
      </w:r>
      <w:r w:rsidR="00CA023E">
        <w:t xml:space="preserve"> carbaryl</w:t>
      </w:r>
      <w:r w:rsidR="00B32F80">
        <w:t xml:space="preserve"> demonstrated a variety of growth and reproductive effects at a range of exposure concentrations in birds and mammals as discussed in </w:t>
      </w:r>
      <w:r w:rsidR="00B32F80" w:rsidRPr="00B32F80">
        <w:rPr>
          <w:b/>
          <w:bCs/>
        </w:rPr>
        <w:t>Chapter 2</w:t>
      </w:r>
      <w:r w:rsidR="00B32F80">
        <w:t xml:space="preserve">.  </w:t>
      </w:r>
      <w:r w:rsidR="00D8211E">
        <w:t xml:space="preserve">Carbaryl is highly toxic to beneficial insects and bees. </w:t>
      </w:r>
      <w:r w:rsidR="00615B53" w:rsidDel="00615B53">
        <w:t xml:space="preserve"> </w:t>
      </w:r>
      <w:r w:rsidR="00D8211E">
        <w:t>Carbaryl is moderately toxic to freshwater fish, and highly toxic to freshwater and estuarine/marine invertebrates on an acute exposure basis.</w:t>
      </w:r>
      <w:r w:rsidR="00550153">
        <w:t xml:space="preserve"> Carbaryl has demonstrated adverse effects on </w:t>
      </w:r>
      <w:r w:rsidR="00675167">
        <w:t xml:space="preserve">growth to </w:t>
      </w:r>
      <w:r w:rsidR="00550153">
        <w:t>both vascular and non-vascular aquatic plants</w:t>
      </w:r>
      <w:r w:rsidR="00675167">
        <w:t xml:space="preserve"> as well as terrestrial plants. </w:t>
      </w:r>
      <w:r w:rsidR="00092FF0">
        <w:t xml:space="preserve">There are </w:t>
      </w:r>
      <w:r w:rsidR="00783B1B">
        <w:t xml:space="preserve">reported ecological </w:t>
      </w:r>
      <w:r w:rsidR="00092FF0">
        <w:t xml:space="preserve">incidents involving carbaryl use </w:t>
      </w:r>
      <w:r w:rsidR="003A6483">
        <w:t>for</w:t>
      </w:r>
      <w:r w:rsidR="00092FF0">
        <w:t xml:space="preserve"> birds, mammals, terrestrial invertebrates, and terrestrial plants which are detailed in </w:t>
      </w:r>
      <w:r w:rsidR="00092FF0">
        <w:rPr>
          <w:b/>
          <w:bCs/>
        </w:rPr>
        <w:t>Chapter 2</w:t>
      </w:r>
      <w:r w:rsidR="00092FF0">
        <w:t>.</w:t>
      </w:r>
    </w:p>
    <w:p w14:paraId="451D8CB4" w14:textId="77777777" w:rsidR="005721BD" w:rsidRPr="0045224D" w:rsidRDefault="005721BD" w:rsidP="0045224D">
      <w:pPr>
        <w:rPr>
          <w:rFonts w:ascii="Calibri" w:eastAsia="Calibri" w:hAnsi="Calibri" w:cs="Calibri"/>
          <w:color w:val="000000"/>
        </w:rPr>
      </w:pPr>
    </w:p>
    <w:p w14:paraId="48B45DA5" w14:textId="207019F9" w:rsidR="00E91586" w:rsidRPr="00033DB4" w:rsidRDefault="00E91586" w:rsidP="0098319A">
      <w:pPr>
        <w:pStyle w:val="Heading1"/>
      </w:pPr>
      <w:r w:rsidRPr="00033DB4">
        <w:t xml:space="preserve">Exposure </w:t>
      </w:r>
      <w:r w:rsidR="00033DB4">
        <w:t>Methods</w:t>
      </w:r>
    </w:p>
    <w:p w14:paraId="54ABB624" w14:textId="77777777" w:rsidR="00E91586" w:rsidRPr="00507E9A" w:rsidRDefault="00E91586" w:rsidP="0045224D"/>
    <w:p w14:paraId="4938168C" w14:textId="1531AE8B" w:rsidR="00C633D9" w:rsidRPr="00056C0F" w:rsidRDefault="00056C0F" w:rsidP="00056C0F">
      <w:r w:rsidRPr="009440C1">
        <w:t xml:space="preserve">Exposure estimates are based primarily on fate and transport model results. Aquatic exposures (surface water and benthic sediment pore water) are quantitatively estimated for representative </w:t>
      </w:r>
      <w:r w:rsidR="007F10B7">
        <w:t>carbaryl</w:t>
      </w:r>
      <w:r w:rsidRPr="009440C1">
        <w:t xml:space="preserve"> uses in specific geographic regions within generic habitats (referred to as bins) using the Pesticide Root Zone Model (PRZM5) and the Variable Volume Water Model (VVWM</w:t>
      </w:r>
      <w:r w:rsidR="00CC211E" w:rsidRPr="00CC211E">
        <w:t>)</w:t>
      </w:r>
      <w:r w:rsidR="00CC211E" w:rsidRPr="00CC211E">
        <w:rPr>
          <w:vertAlign w:val="superscript"/>
        </w:rPr>
        <w:footnoteReference w:id="3"/>
      </w:r>
      <w:r w:rsidRPr="009440C1">
        <w:t xml:space="preserve"> in the Pesticides in Water Calculator (PWC)</w:t>
      </w:r>
      <w:r w:rsidR="007F10B7">
        <w:t xml:space="preserve"> version 2.001</w:t>
      </w:r>
      <w:r w:rsidRPr="009440C1">
        <w:t xml:space="preserve">. Aquatic exposure results for the bin(s) most appropriate for the species and/or critical habitat are discussed in </w:t>
      </w:r>
      <w:r w:rsidRPr="009440C1">
        <w:rPr>
          <w:b/>
          <w:bCs/>
        </w:rPr>
        <w:t>Chapter 3</w:t>
      </w:r>
      <w:r w:rsidRPr="009440C1">
        <w:t>.</w:t>
      </w:r>
      <w:r w:rsidR="00060E8C">
        <w:t xml:space="preserve"> </w:t>
      </w:r>
      <w:r w:rsidRPr="009440C1">
        <w:t xml:space="preserve">Also discussed in </w:t>
      </w:r>
      <w:r w:rsidRPr="009440C1">
        <w:rPr>
          <w:b/>
          <w:bCs/>
        </w:rPr>
        <w:t>Chapter 3</w:t>
      </w:r>
      <w:r w:rsidRPr="009440C1">
        <w:t xml:space="preserve"> are available water monitoring data for </w:t>
      </w:r>
      <w:r w:rsidR="007F10B7">
        <w:t>carbaryl</w:t>
      </w:r>
      <w:r w:rsidRPr="009440C1">
        <w:t>. For terrestrial exposures, existing models [</w:t>
      </w:r>
      <w:r w:rsidRPr="009440C1">
        <w:rPr>
          <w:i/>
          <w:iCs/>
        </w:rPr>
        <w:t>i.e</w:t>
      </w:r>
      <w:r w:rsidRPr="009440C1">
        <w:t xml:space="preserve">., </w:t>
      </w:r>
      <w:proofErr w:type="spellStart"/>
      <w:r w:rsidRPr="009440C1">
        <w:t>AgDRIFT</w:t>
      </w:r>
      <w:proofErr w:type="spellEnd"/>
      <w:r w:rsidRPr="009440C1">
        <w:t xml:space="preserve">, earthworm fugacity model, Terrestrial </w:t>
      </w:r>
      <w:proofErr w:type="spellStart"/>
      <w:r w:rsidRPr="009440C1">
        <w:t>Herpetofaunal</w:t>
      </w:r>
      <w:proofErr w:type="spellEnd"/>
      <w:r w:rsidRPr="009440C1">
        <w:t xml:space="preserve"> Exposure Residue Program Simulation (T-HERPS), Terrestrial Residue Exposure model (T-REX) and portions of the Terrestrial Investigation Model (TIM)] were combined and modified into a single tool that is referred to as the </w:t>
      </w:r>
      <w:proofErr w:type="spellStart"/>
      <w:r w:rsidRPr="009440C1">
        <w:t>MAGTool</w:t>
      </w:r>
      <w:proofErr w:type="spellEnd"/>
      <w:r w:rsidRPr="009440C1">
        <w:t xml:space="preserve"> (</w:t>
      </w:r>
      <w:r w:rsidRPr="009440C1">
        <w:rPr>
          <w:b/>
          <w:bCs/>
        </w:rPr>
        <w:t>Chapter 4</w:t>
      </w:r>
      <w:r w:rsidRPr="009440C1">
        <w:t xml:space="preserve">). This assessment replaces EPA’s TerrPlant model with the Plant Assessment Tool (PAT), the latter is a more refined exposure model for </w:t>
      </w:r>
      <w:r w:rsidRPr="009440C1">
        <w:lastRenderedPageBreak/>
        <w:t>terrestrial, wetland and aquatic plants</w:t>
      </w:r>
      <w:r w:rsidR="005120B0">
        <w:t>.</w:t>
      </w:r>
      <w:r w:rsidR="007F7A2E" w:rsidRPr="00056C0F">
        <w:t xml:space="preserve"> </w:t>
      </w:r>
      <w:r w:rsidR="00421D2C" w:rsidRPr="009440C1">
        <w:t xml:space="preserve">Between the draft BE and the final BE, an updated </w:t>
      </w:r>
      <w:r w:rsidR="00421D2C">
        <w:t xml:space="preserve">methodology was utilized to estimate exposure </w:t>
      </w:r>
      <w:r w:rsidR="004D5517">
        <w:t>in residential settings</w:t>
      </w:r>
      <w:r w:rsidR="00421D2C" w:rsidRPr="009440C1">
        <w:t>.</w:t>
      </w:r>
    </w:p>
    <w:p w14:paraId="6C08764A" w14:textId="77777777" w:rsidR="00DC04D5" w:rsidRDefault="00DC04D5" w:rsidP="0045224D"/>
    <w:p w14:paraId="04280AA5" w14:textId="312B87B5" w:rsidR="00CF1313" w:rsidRDefault="00033DB4" w:rsidP="00D764C0">
      <w:pPr>
        <w:pStyle w:val="Heading1"/>
      </w:pPr>
      <w:r w:rsidRPr="00F84F72">
        <w:t>O</w:t>
      </w:r>
      <w:r w:rsidR="00C633D9" w:rsidRPr="00F84F72">
        <w:t xml:space="preserve">verlap </w:t>
      </w:r>
      <w:r w:rsidRPr="00F84F72">
        <w:t>A</w:t>
      </w:r>
      <w:r w:rsidR="00C633D9" w:rsidRPr="00F84F72">
        <w:t>nalys</w:t>
      </w:r>
      <w:r w:rsidRPr="00F84F72">
        <w:t>e</w:t>
      </w:r>
      <w:r w:rsidR="00C633D9" w:rsidRPr="00F84F72">
        <w:t>s</w:t>
      </w:r>
    </w:p>
    <w:p w14:paraId="5ABFACB4" w14:textId="77777777" w:rsidR="00607C24" w:rsidRDefault="00607C24" w:rsidP="009440C1">
      <w:pPr>
        <w:keepNext/>
      </w:pPr>
    </w:p>
    <w:p w14:paraId="51738D4B" w14:textId="12E3EF33" w:rsidR="007667F0" w:rsidRPr="00CA6424" w:rsidRDefault="008A5E41" w:rsidP="009440C1">
      <w:pPr>
        <w:keepNext/>
      </w:pPr>
      <w:r w:rsidRPr="25EBD91D">
        <w:rPr>
          <w:color w:val="000000" w:themeColor="text1"/>
        </w:rPr>
        <w:t>Step 1 of the BE involves an analysis of the potential overlap of the action area and individual species ranges and critical habitat. The action area was derived in ArcGIS 10.</w:t>
      </w:r>
      <w:r w:rsidR="002A0BFE">
        <w:rPr>
          <w:color w:val="000000" w:themeColor="text1"/>
        </w:rPr>
        <w:t>8</w:t>
      </w:r>
      <w:r w:rsidRPr="25EBD91D">
        <w:rPr>
          <w:color w:val="000000" w:themeColor="text1"/>
        </w:rPr>
        <w:t xml:space="preserve"> by combining the data layers representative of carbaryl potential uses plus off-site transport. The overlaps of action area and individual species’ ranges or critical habitats were calculated. This analysis used spatial data of species’ ranges and habitats from the Fish and Wildlife Service (FWS) and National Marine Fisheries Service (NMFS). In the contiguous United States (</w:t>
      </w:r>
      <w:proofErr w:type="spellStart"/>
      <w:r w:rsidRPr="25EBD91D">
        <w:rPr>
          <w:color w:val="000000" w:themeColor="text1"/>
        </w:rPr>
        <w:t>ConUS</w:t>
      </w:r>
      <w:proofErr w:type="spellEnd"/>
      <w:r w:rsidRPr="25EBD91D">
        <w:rPr>
          <w:color w:val="000000" w:themeColor="text1"/>
        </w:rPr>
        <w:t>), agricultural potential use sites are represented using the USDA Crop Data Layer (CDL) (</w:t>
      </w:r>
      <w:r w:rsidRPr="25EBD91D">
        <w:rPr>
          <w:b/>
          <w:bCs/>
          <w:color w:val="000000" w:themeColor="text1"/>
        </w:rPr>
        <w:t>APPENDIX 1-</w:t>
      </w:r>
      <w:r w:rsidR="002A0BFE">
        <w:rPr>
          <w:b/>
          <w:bCs/>
          <w:color w:val="000000" w:themeColor="text1"/>
        </w:rPr>
        <w:t>5</w:t>
      </w:r>
      <w:r w:rsidRPr="25EBD91D">
        <w:rPr>
          <w:color w:val="000000" w:themeColor="text1"/>
        </w:rPr>
        <w:t>). Other data sources are used to represent agricultural areas in states and US territories outside of the contiguous United States, for which the CDL is not available</w:t>
      </w:r>
      <w:r w:rsidR="002A0BFE">
        <w:rPr>
          <w:color w:val="000000" w:themeColor="text1"/>
        </w:rPr>
        <w:t xml:space="preserve"> (</w:t>
      </w:r>
      <w:r w:rsidR="002A0BFE">
        <w:rPr>
          <w:b/>
          <w:bCs/>
          <w:color w:val="000000" w:themeColor="text1"/>
        </w:rPr>
        <w:t>APPENDIX 1-6)</w:t>
      </w:r>
      <w:r w:rsidRPr="25EBD91D">
        <w:rPr>
          <w:color w:val="000000" w:themeColor="text1"/>
        </w:rPr>
        <w:t xml:space="preserve">. All species or critical habitats with some overlap of the action area and their range or designated critical habitat, or with some overlap on species that </w:t>
      </w:r>
      <w:r w:rsidRPr="00CA6424">
        <w:t>the listed species depends on (</w:t>
      </w:r>
      <w:r w:rsidRPr="00CA6424">
        <w:rPr>
          <w:b/>
          <w:bCs/>
        </w:rPr>
        <w:t>Chapter 4</w:t>
      </w:r>
      <w:r w:rsidRPr="00CA6424">
        <w:t xml:space="preserve">) are assessed in the </w:t>
      </w:r>
      <w:proofErr w:type="spellStart"/>
      <w:r w:rsidRPr="00CA6424">
        <w:t>MAGTool</w:t>
      </w:r>
      <w:proofErr w:type="spellEnd"/>
      <w:r w:rsidRPr="00CA6424">
        <w:t xml:space="preserve"> to make LAA/NLAA determinations. </w:t>
      </w:r>
      <w:r w:rsidR="00030882" w:rsidRPr="00CA6424">
        <w:rPr>
          <w:rFonts w:ascii="Calibri" w:eastAsia="Calibri" w:hAnsi="Calibri" w:cs="Calibri"/>
        </w:rPr>
        <w:t>Between the draft BE and the final BE, several UDLs were updated include splitting alfalfa and other agricultural grasses (non-grazing area) from the pasture/rangeland (grazing areas)</w:t>
      </w:r>
      <w:r w:rsidR="00AE2152" w:rsidRPr="00CA6424">
        <w:t>.</w:t>
      </w:r>
    </w:p>
    <w:p w14:paraId="3C6AFD12" w14:textId="77777777" w:rsidR="00DC04D5" w:rsidRDefault="00DC04D5" w:rsidP="0098319A"/>
    <w:p w14:paraId="54323EAA" w14:textId="40EA8A5F" w:rsidR="00C633D9" w:rsidRPr="00033DB4" w:rsidRDefault="00033DB4" w:rsidP="0098319A">
      <w:pPr>
        <w:pStyle w:val="Heading1"/>
      </w:pPr>
      <w:r>
        <w:t>Effects Determinations</w:t>
      </w:r>
    </w:p>
    <w:p w14:paraId="513F5C26" w14:textId="77777777" w:rsidR="00C633D9" w:rsidRDefault="00C633D9" w:rsidP="0045224D"/>
    <w:p w14:paraId="3BEF83ED" w14:textId="171AD39F" w:rsidR="001F7614" w:rsidRPr="008A10CB" w:rsidRDefault="001F7614" w:rsidP="001F7614">
      <w:pPr>
        <w:rPr>
          <w:b/>
          <w:bCs/>
        </w:rPr>
      </w:pPr>
      <w:r w:rsidRPr="008A10CB">
        <w:t xml:space="preserve">This BE makes effects determinations (NE, NLAA or LAA) for </w:t>
      </w:r>
      <w:r w:rsidR="38324016" w:rsidRPr="008A10CB">
        <w:t>1,805</w:t>
      </w:r>
      <w:r w:rsidRPr="008A10CB">
        <w:t xml:space="preserve"> listed species, and </w:t>
      </w:r>
      <w:r w:rsidR="35C126E7" w:rsidRPr="008A10CB">
        <w:t>791</w:t>
      </w:r>
      <w:r w:rsidRPr="008A10CB">
        <w:t xml:space="preserve"> designated critical habitats. For each species and designated critical habitat, the effects determination is based on the methodology detailed in </w:t>
      </w:r>
      <w:r w:rsidRPr="00EB7F74">
        <w:rPr>
          <w:b/>
          <w:bCs/>
        </w:rPr>
        <w:t>Chapter 1</w:t>
      </w:r>
      <w:r w:rsidRPr="008A10CB">
        <w:t xml:space="preserve"> of this BE and the Revised Method document</w:t>
      </w:r>
      <w:r w:rsidR="00D9375E" w:rsidRPr="008A10CB">
        <w:rPr>
          <w:rStyle w:val="FootnoteReference"/>
        </w:rPr>
        <w:footnoteReference w:id="4"/>
      </w:r>
      <w:r w:rsidRPr="008A10CB">
        <w:t>.</w:t>
      </w:r>
      <w:r w:rsidRPr="008A10CB">
        <w:rPr>
          <w:rFonts w:eastAsia="Calibri" w:cs="Calibri"/>
        </w:rPr>
        <w:t xml:space="preserve"> NE determinations were made for </w:t>
      </w:r>
      <w:r w:rsidR="35E674C1" w:rsidRPr="008A10CB">
        <w:rPr>
          <w:rFonts w:eastAsia="Calibri" w:cs="Calibri"/>
        </w:rPr>
        <w:t xml:space="preserve">three </w:t>
      </w:r>
      <w:r w:rsidRPr="008A10CB">
        <w:rPr>
          <w:rFonts w:eastAsia="Calibri" w:cs="Calibri"/>
        </w:rPr>
        <w:t xml:space="preserve">species </w:t>
      </w:r>
      <w:r w:rsidR="39EE8972" w:rsidRPr="008A10CB">
        <w:rPr>
          <w:rFonts w:eastAsia="Calibri" w:cs="Calibri"/>
        </w:rPr>
        <w:t>and</w:t>
      </w:r>
      <w:r w:rsidR="1B4ED41B" w:rsidRPr="008A10CB">
        <w:rPr>
          <w:rFonts w:eastAsia="Calibri" w:cs="Calibri"/>
        </w:rPr>
        <w:t xml:space="preserve"> their</w:t>
      </w:r>
      <w:r w:rsidRPr="008A10CB">
        <w:rPr>
          <w:rFonts w:eastAsia="Calibri" w:cs="Calibri"/>
        </w:rPr>
        <w:t xml:space="preserve"> designated critical habitats; </w:t>
      </w:r>
      <w:r w:rsidR="65E3DD99" w:rsidRPr="008A10CB">
        <w:rPr>
          <w:rFonts w:eastAsia="Calibri" w:cs="Calibri"/>
        </w:rPr>
        <w:t>all other species received a MA determination</w:t>
      </w:r>
      <w:r w:rsidRPr="008A10CB">
        <w:rPr>
          <w:rFonts w:eastAsia="Calibri" w:cs="Calibri"/>
        </w:rPr>
        <w:t>.</w:t>
      </w:r>
      <w:r w:rsidRPr="008A10CB">
        <w:t xml:space="preserve">  All species and critical habitats with a MA determination progressed to the Step 2 analysis where a NLAA or LAA determination is made</w:t>
      </w:r>
      <w:bookmarkStart w:id="0" w:name="_Hlk57015010"/>
      <w:r w:rsidRPr="008A10CB">
        <w:t xml:space="preserve">. </w:t>
      </w:r>
      <w:r w:rsidRPr="008A10CB">
        <w:rPr>
          <w:rFonts w:eastAsia="Times New Roman"/>
        </w:rPr>
        <w:t xml:space="preserve">NLAA determinations were made for </w:t>
      </w:r>
      <w:r w:rsidR="517F4AD8" w:rsidRPr="008A10CB">
        <w:rPr>
          <w:rFonts w:eastAsia="Times New Roman"/>
        </w:rPr>
        <w:t>16</w:t>
      </w:r>
      <w:r w:rsidR="002D6124">
        <w:rPr>
          <w:rFonts w:eastAsia="Times New Roman"/>
        </w:rPr>
        <w:t>2</w:t>
      </w:r>
      <w:r w:rsidRPr="008A10CB">
        <w:rPr>
          <w:rFonts w:eastAsia="Times New Roman"/>
        </w:rPr>
        <w:t xml:space="preserve"> species and </w:t>
      </w:r>
      <w:r w:rsidR="2F5BDD6C" w:rsidRPr="008A10CB">
        <w:rPr>
          <w:rFonts w:eastAsia="Times New Roman"/>
        </w:rPr>
        <w:t>5</w:t>
      </w:r>
      <w:r w:rsidR="00AB0C37">
        <w:rPr>
          <w:rFonts w:eastAsia="Times New Roman"/>
        </w:rPr>
        <w:t>2</w:t>
      </w:r>
      <w:r w:rsidRPr="008A10CB">
        <w:rPr>
          <w:rFonts w:eastAsia="Times New Roman"/>
        </w:rPr>
        <w:t xml:space="preserve"> species’ critical habitat and LAA determinations were made for </w:t>
      </w:r>
      <w:r w:rsidR="7E6B681F" w:rsidRPr="008A10CB">
        <w:rPr>
          <w:rFonts w:eastAsia="Times New Roman"/>
        </w:rPr>
        <w:t>1,</w:t>
      </w:r>
      <w:r w:rsidR="002D6124" w:rsidRPr="008A10CB">
        <w:rPr>
          <w:rFonts w:eastAsia="Times New Roman"/>
        </w:rPr>
        <w:t>6</w:t>
      </w:r>
      <w:r w:rsidR="002D6124">
        <w:rPr>
          <w:rFonts w:eastAsia="Times New Roman"/>
        </w:rPr>
        <w:t>40</w:t>
      </w:r>
      <w:r w:rsidR="002D6124" w:rsidRPr="008A10CB">
        <w:rPr>
          <w:rFonts w:eastAsia="Times New Roman"/>
        </w:rPr>
        <w:t xml:space="preserve"> </w:t>
      </w:r>
      <w:r w:rsidRPr="008A10CB">
        <w:rPr>
          <w:rFonts w:eastAsia="Times New Roman"/>
        </w:rPr>
        <w:t xml:space="preserve">species and </w:t>
      </w:r>
      <w:r w:rsidR="5EFB5A15" w:rsidRPr="008A10CB">
        <w:rPr>
          <w:rFonts w:eastAsia="Times New Roman"/>
        </w:rPr>
        <w:t>73</w:t>
      </w:r>
      <w:r w:rsidR="00AB0C37">
        <w:rPr>
          <w:rFonts w:eastAsia="Times New Roman"/>
        </w:rPr>
        <w:t>6</w:t>
      </w:r>
      <w:r w:rsidR="003D472D">
        <w:rPr>
          <w:rFonts w:eastAsia="Times New Roman"/>
        </w:rPr>
        <w:t xml:space="preserve"> species’</w:t>
      </w:r>
      <w:r w:rsidRPr="008A10CB">
        <w:rPr>
          <w:rFonts w:eastAsia="Times New Roman"/>
        </w:rPr>
        <w:t xml:space="preserve"> critical habitats</w:t>
      </w:r>
      <w:r w:rsidRPr="008A10CB">
        <w:rPr>
          <w:rFonts w:eastAsia="Calibri" w:cs="Calibri"/>
        </w:rPr>
        <w:t xml:space="preserve">. </w:t>
      </w:r>
      <w:bookmarkEnd w:id="0"/>
      <w:r w:rsidRPr="008A10CB">
        <w:rPr>
          <w:rFonts w:eastAsia="Calibri" w:cs="Calibri"/>
        </w:rPr>
        <w:t xml:space="preserve">Most NLAA determinations were based on a qualitative analysis of species, based on factors such as being presumed extinct or having incomplete exposure pathways. </w:t>
      </w:r>
      <w:r w:rsidRPr="008A10CB">
        <w:t xml:space="preserve">Specific species determinations are provided in </w:t>
      </w:r>
      <w:r w:rsidRPr="008A10CB">
        <w:rPr>
          <w:b/>
          <w:bCs/>
        </w:rPr>
        <w:t>APPENDIX 4-1.</w:t>
      </w:r>
    </w:p>
    <w:p w14:paraId="6EA4FF33" w14:textId="77777777" w:rsidR="001F7614" w:rsidRPr="008A10CB" w:rsidRDefault="001F7614" w:rsidP="001F7614">
      <w:pPr>
        <w:rPr>
          <w:b/>
          <w:bCs/>
        </w:rPr>
      </w:pPr>
    </w:p>
    <w:p w14:paraId="4ADF3B24" w14:textId="60ACBDB2" w:rsidR="001F7614" w:rsidRPr="008A10CB" w:rsidRDefault="001F7614" w:rsidP="001F7614">
      <w:r w:rsidRPr="008A10CB">
        <w:t xml:space="preserve">The </w:t>
      </w:r>
      <w:proofErr w:type="spellStart"/>
      <w:r w:rsidRPr="008A10CB">
        <w:t>MAGTool</w:t>
      </w:r>
      <w:proofErr w:type="spellEnd"/>
      <w:r w:rsidRPr="008A10CB">
        <w:t xml:space="preserve"> estimates the number of individuals of a listed species that are potentially affected, incorporating the degree of overlap of a species range with potential use sites and associated usage data for a chemical (and associated off-site transport areas) into the effects determinations. Using the toxicity endpoints for each taxon (</w:t>
      </w:r>
      <w:r w:rsidRPr="008A10CB">
        <w:rPr>
          <w:b/>
        </w:rPr>
        <w:t>Chapter 2</w:t>
      </w:r>
      <w:r w:rsidRPr="008A10CB">
        <w:t xml:space="preserve">), the </w:t>
      </w:r>
      <w:proofErr w:type="spellStart"/>
      <w:r w:rsidRPr="008A10CB">
        <w:t>MAGTool</w:t>
      </w:r>
      <w:proofErr w:type="spellEnd"/>
      <w:r w:rsidRPr="008A10CB">
        <w:t xml:space="preserve"> utilizes</w:t>
      </w:r>
      <w:r w:rsidRPr="000C6A3E">
        <w:t xml:space="preserve"> </w:t>
      </w:r>
      <w:r w:rsidR="001E6F40">
        <w:t>both deterministic and</w:t>
      </w:r>
      <w:r w:rsidRPr="008A10CB">
        <w:t xml:space="preserve"> probabilistic methods to assess the likelihood that </w:t>
      </w:r>
      <w:r w:rsidR="002F4C9D" w:rsidRPr="008A10CB">
        <w:t>carbaryl</w:t>
      </w:r>
      <w:r w:rsidRPr="008A10CB">
        <w:t xml:space="preserve"> will adversely affect an individual of a given species. To help determine the potential for risk, the MAGtool incorporates many of EPA’s standard pesticide exposure models to estimate exposures to listed species and their prey, pollination, habitat, and dispersal vectors (PPHD).  Details on the individual </w:t>
      </w:r>
      <w:proofErr w:type="gramStart"/>
      <w:r w:rsidRPr="008A10CB">
        <w:t>effects</w:t>
      </w:r>
      <w:proofErr w:type="gramEnd"/>
      <w:r w:rsidRPr="008A10CB">
        <w:t xml:space="preserve"> determinations are found in </w:t>
      </w:r>
      <w:r w:rsidRPr="008A10CB">
        <w:rPr>
          <w:b/>
        </w:rPr>
        <w:t>APPENDIX 4-1</w:t>
      </w:r>
      <w:r w:rsidRPr="008A10CB">
        <w:t xml:space="preserve">. If the model estimates are not considered representative of the exposure of the species (due to an inconsistency in the exposure model and assessed species’ habitat), a qualitative analysis is conducted. In those cases, EPA makes either a LAA or a NLAA determination based on a qualitative weight of </w:t>
      </w:r>
      <w:r w:rsidRPr="008A10CB">
        <w:lastRenderedPageBreak/>
        <w:t>evidence. For each LAA determination, this assessment employs three categories (</w:t>
      </w:r>
      <w:r w:rsidRPr="008A10CB">
        <w:rPr>
          <w:i/>
        </w:rPr>
        <w:t>i.e.,</w:t>
      </w:r>
      <w:r w:rsidRPr="008A10CB">
        <w:t xml:space="preserve"> strongest, </w:t>
      </w:r>
      <w:proofErr w:type="gramStart"/>
      <w:r w:rsidRPr="008A10CB">
        <w:t>moderate</w:t>
      </w:r>
      <w:proofErr w:type="gramEnd"/>
      <w:r w:rsidRPr="008A10CB">
        <w:t xml:space="preserve"> and weakest) to characterize the strength of the weight of evidence. Each species or critical habitat was assigned a weak, moderate or strong evidence in the LAA determination based on multiple factors, including: the impact of using less conservative assumptions in the analysis, the quality of the species range or usage data, impacts to both the species and PPHD as opposed to only one, the presence of reported incidents involving the species taxa or PPHD taxa, the presence of monitoring data that exceeds endpoints, exposure only due to spray drift and the likelihood of drift into a species habitat (</w:t>
      </w:r>
      <w:r w:rsidRPr="008A10CB">
        <w:rPr>
          <w:i/>
          <w:iCs/>
        </w:rPr>
        <w:t>e.g</w:t>
      </w:r>
      <w:r w:rsidRPr="008A10CB">
        <w:t xml:space="preserve">., if the species inhabits forests). </w:t>
      </w:r>
    </w:p>
    <w:p w14:paraId="41516870" w14:textId="77777777" w:rsidR="00EB7F74" w:rsidRDefault="00EB7F74" w:rsidP="001F7614">
      <w:pPr>
        <w:rPr>
          <w:rStyle w:val="CommentReference"/>
        </w:rPr>
      </w:pPr>
    </w:p>
    <w:p w14:paraId="446B4FF0" w14:textId="60C2B674" w:rsidR="001F7614" w:rsidRPr="008A10CB" w:rsidRDefault="001F7614" w:rsidP="001F7614">
      <w:r w:rsidRPr="008A10CB">
        <w:t>Of the LAA determinations, the majority (</w:t>
      </w:r>
      <w:r w:rsidR="002D6124">
        <w:t>70</w:t>
      </w:r>
      <w:r w:rsidRPr="008A10CB">
        <w:t xml:space="preserve">% of species and </w:t>
      </w:r>
      <w:r w:rsidR="002D6124">
        <w:t>73</w:t>
      </w:r>
      <w:r w:rsidRPr="008A10CB">
        <w:t xml:space="preserve">% of critical habitats) were considered to have moderate evidence. Strongest evidence was found for </w:t>
      </w:r>
      <w:r w:rsidR="00A10424">
        <w:t>8</w:t>
      </w:r>
      <w:r w:rsidRPr="008A10CB">
        <w:t xml:space="preserve">% of species and </w:t>
      </w:r>
      <w:r w:rsidR="002D6124">
        <w:t>10</w:t>
      </w:r>
      <w:r w:rsidRPr="008A10CB">
        <w:t xml:space="preserve">% of critical habitat LAA determinations. Weakest evidence was found for </w:t>
      </w:r>
      <w:r w:rsidR="00A10424">
        <w:t>22</w:t>
      </w:r>
      <w:r w:rsidRPr="008A10CB">
        <w:t xml:space="preserve">% of species and </w:t>
      </w:r>
      <w:r w:rsidR="052CB8DD" w:rsidRPr="008A10CB">
        <w:t>18</w:t>
      </w:r>
      <w:r w:rsidRPr="008A10CB">
        <w:t xml:space="preserve">% of critical habitat LAA determinations.  </w:t>
      </w:r>
      <w:bookmarkStart w:id="1" w:name="_Hlk57013924"/>
      <w:bookmarkEnd w:id="1"/>
    </w:p>
    <w:p w14:paraId="63E6823A" w14:textId="77777777" w:rsidR="001F7614" w:rsidRPr="008A10CB" w:rsidRDefault="001F7614" w:rsidP="001F7614"/>
    <w:p w14:paraId="1D1ED552" w14:textId="65C95E1B" w:rsidR="001F7614" w:rsidRPr="008A10CB" w:rsidRDefault="001F7614" w:rsidP="001F7614">
      <w:r w:rsidRPr="008A10CB">
        <w:t xml:space="preserve">Non-agricultural UDLs, including </w:t>
      </w:r>
      <w:r w:rsidR="009440C1" w:rsidRPr="008A10CB">
        <w:t xml:space="preserve">Open Space Developed, Right of Way and Developed </w:t>
      </w:r>
      <w:r w:rsidR="3EEB4437" w:rsidRPr="008A10CB">
        <w:t>UDLs</w:t>
      </w:r>
      <w:r w:rsidRPr="008A10CB">
        <w:t xml:space="preserve"> were</w:t>
      </w:r>
      <w:r w:rsidR="2D772EC3" w:rsidRPr="008A10CB">
        <w:t xml:space="preserve"> often cited as the top use sites associated with</w:t>
      </w:r>
      <w:r w:rsidR="0FBB8851" w:rsidRPr="008A10CB">
        <w:t xml:space="preserve"> predicted</w:t>
      </w:r>
      <w:r w:rsidRPr="008A10CB">
        <w:t xml:space="preserve"> impacts to species or critical habitats with LAA determinations, although numerous other non-agricultural and agricultural </w:t>
      </w:r>
      <w:r w:rsidR="00BF4DBD" w:rsidRPr="008A10CB">
        <w:t>UDL</w:t>
      </w:r>
      <w:r w:rsidR="00BF4DBD">
        <w:t>s</w:t>
      </w:r>
      <w:r w:rsidR="00BF4DBD" w:rsidRPr="008A10CB">
        <w:t xml:space="preserve"> </w:t>
      </w:r>
      <w:r w:rsidRPr="008A10CB">
        <w:t xml:space="preserve">may also impact species. </w:t>
      </w:r>
      <w:bookmarkStart w:id="2" w:name="_Hlk66347102"/>
      <w:r w:rsidR="002A0BFE">
        <w:t xml:space="preserve">When interpreting UDL rankings based on impact to the species, it is important to remember the UDLs are not mutually exclusive from one another. Therefore, other influences related to this lack of independence may influence the high rankings of a given layers. </w:t>
      </w:r>
      <w:bookmarkEnd w:id="2"/>
      <w:r w:rsidRPr="008A10CB">
        <w:t xml:space="preserve">LAA determinations were made for species across all taxa. </w:t>
      </w:r>
      <w:r w:rsidRPr="008A10CB">
        <w:rPr>
          <w:i/>
          <w:iCs/>
        </w:rPr>
        <w:t xml:space="preserve"> </w:t>
      </w:r>
      <w:r w:rsidRPr="008A10CB">
        <w:t xml:space="preserve">For certain species, there were uncertainties in the </w:t>
      </w:r>
      <w:r w:rsidR="002F4C9D" w:rsidRPr="008A10CB">
        <w:t>carbaryl</w:t>
      </w:r>
      <w:r w:rsidRPr="008A10CB">
        <w:t xml:space="preserve"> effects determinations based on the resolution of spatial data. For species and critical habitats there were uncertainties in the resolution of usage data and the threshold for assessing impacts on PPHD (detailed in </w:t>
      </w:r>
      <w:r w:rsidRPr="008A10CB">
        <w:rPr>
          <w:b/>
          <w:bCs/>
        </w:rPr>
        <w:t>Chapter 4</w:t>
      </w:r>
      <w:r w:rsidRPr="008A10CB">
        <w:t>).</w:t>
      </w:r>
      <w:r w:rsidRPr="008A10CB">
        <w:rPr>
          <w:i/>
          <w:iCs/>
        </w:rPr>
        <w:t xml:space="preserve"> </w:t>
      </w:r>
      <w:r w:rsidRPr="008A10CB">
        <w:rPr>
          <w:b/>
          <w:bCs/>
        </w:rPr>
        <w:t>Tables 1</w:t>
      </w:r>
      <w:r w:rsidRPr="008A10CB">
        <w:t xml:space="preserve"> and </w:t>
      </w:r>
      <w:r w:rsidRPr="008A10CB">
        <w:rPr>
          <w:b/>
          <w:bCs/>
        </w:rPr>
        <w:t xml:space="preserve">2 </w:t>
      </w:r>
      <w:r w:rsidRPr="008A10CB">
        <w:t xml:space="preserve">summarize the NE, NLAA and LAA determinations for species and critical habitats.  </w:t>
      </w:r>
      <w:r w:rsidRPr="008A10CB">
        <w:rPr>
          <w:b/>
          <w:bCs/>
        </w:rPr>
        <w:t>Table 3</w:t>
      </w:r>
      <w:r w:rsidRPr="008A10CB">
        <w:t xml:space="preserve"> summarizes the strength of evidence classifications for the LAA determinations.</w:t>
      </w:r>
    </w:p>
    <w:p w14:paraId="42EA73FF" w14:textId="77777777" w:rsidR="001F7614" w:rsidRPr="008A10CB" w:rsidRDefault="001F7614" w:rsidP="001F7614"/>
    <w:p w14:paraId="3770C2DF" w14:textId="6DC7E7CD" w:rsidR="001F7614" w:rsidRPr="008A10CB" w:rsidRDefault="001F7614" w:rsidP="001F7614">
      <w:pPr>
        <w:keepNext/>
        <w:rPr>
          <w:b/>
        </w:rPr>
      </w:pPr>
      <w:r w:rsidRPr="008A10CB">
        <w:rPr>
          <w:b/>
        </w:rPr>
        <w:t xml:space="preserve">Table 1. Summary of Species Effects Determinations for </w:t>
      </w:r>
      <w:r w:rsidR="00D013AE" w:rsidRPr="008A10CB">
        <w:rPr>
          <w:b/>
        </w:rPr>
        <w:t xml:space="preserve">Carbaryl </w:t>
      </w:r>
      <w:r w:rsidRPr="008A10CB">
        <w:rPr>
          <w:b/>
        </w:rPr>
        <w:t>(Counts by Taxon).</w:t>
      </w:r>
    </w:p>
    <w:tbl>
      <w:tblPr>
        <w:tblW w:w="8630" w:type="dxa"/>
        <w:tblLook w:val="04A0" w:firstRow="1" w:lastRow="0" w:firstColumn="1" w:lastColumn="0" w:noHBand="0" w:noVBand="1"/>
      </w:tblPr>
      <w:tblGrid>
        <w:gridCol w:w="1790"/>
        <w:gridCol w:w="810"/>
        <w:gridCol w:w="900"/>
        <w:gridCol w:w="2160"/>
        <w:gridCol w:w="2250"/>
        <w:gridCol w:w="720"/>
      </w:tblGrid>
      <w:tr w:rsidR="00712AB2" w:rsidRPr="008A10CB" w14:paraId="78F9DE6F" w14:textId="77777777" w:rsidTr="00F04F96">
        <w:trPr>
          <w:trHeight w:val="510"/>
        </w:trPr>
        <w:tc>
          <w:tcPr>
            <w:tcW w:w="179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58F91ACF"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Taxon</w:t>
            </w:r>
          </w:p>
        </w:tc>
        <w:tc>
          <w:tcPr>
            <w:tcW w:w="1710" w:type="dxa"/>
            <w:gridSpan w:val="2"/>
            <w:tcBorders>
              <w:top w:val="single" w:sz="8" w:space="0" w:color="auto"/>
              <w:left w:val="nil"/>
              <w:bottom w:val="single" w:sz="8" w:space="0" w:color="auto"/>
              <w:right w:val="single" w:sz="8" w:space="0" w:color="000000"/>
            </w:tcBorders>
            <w:shd w:val="clear" w:color="000000" w:fill="E7E6E6"/>
            <w:vAlign w:val="center"/>
            <w:hideMark/>
          </w:tcPr>
          <w:p w14:paraId="678667D0"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Step 1 Effects Determinations</w:t>
            </w:r>
          </w:p>
        </w:tc>
        <w:tc>
          <w:tcPr>
            <w:tcW w:w="441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2A4996FE"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Step 2 Effects Determinations</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64324E7C"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Totals</w:t>
            </w:r>
          </w:p>
        </w:tc>
      </w:tr>
      <w:tr w:rsidR="00712AB2" w:rsidRPr="008A10CB" w14:paraId="71955ADB" w14:textId="77777777" w:rsidTr="00F04F96">
        <w:trPr>
          <w:trHeight w:val="564"/>
        </w:trPr>
        <w:tc>
          <w:tcPr>
            <w:tcW w:w="1790" w:type="dxa"/>
            <w:vMerge/>
            <w:tcBorders>
              <w:top w:val="single" w:sz="8" w:space="0" w:color="auto"/>
              <w:left w:val="single" w:sz="8" w:space="0" w:color="auto"/>
              <w:bottom w:val="single" w:sz="8" w:space="0" w:color="000000"/>
              <w:right w:val="single" w:sz="8" w:space="0" w:color="auto"/>
            </w:tcBorders>
            <w:vAlign w:val="center"/>
            <w:hideMark/>
          </w:tcPr>
          <w:p w14:paraId="24D73E0A" w14:textId="77777777" w:rsidR="00712AB2" w:rsidRPr="008A10CB" w:rsidRDefault="00712AB2" w:rsidP="00F04F96">
            <w:pPr>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7073C6E5"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No Effect</w:t>
            </w:r>
          </w:p>
        </w:tc>
        <w:tc>
          <w:tcPr>
            <w:tcW w:w="900" w:type="dxa"/>
            <w:tcBorders>
              <w:top w:val="nil"/>
              <w:left w:val="nil"/>
              <w:bottom w:val="single" w:sz="8" w:space="0" w:color="auto"/>
              <w:right w:val="single" w:sz="8" w:space="0" w:color="auto"/>
            </w:tcBorders>
            <w:shd w:val="clear" w:color="000000" w:fill="E7E6E6"/>
            <w:vAlign w:val="center"/>
            <w:hideMark/>
          </w:tcPr>
          <w:p w14:paraId="24A2210D"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May Affect</w:t>
            </w:r>
          </w:p>
        </w:tc>
        <w:tc>
          <w:tcPr>
            <w:tcW w:w="2160" w:type="dxa"/>
            <w:tcBorders>
              <w:top w:val="nil"/>
              <w:left w:val="nil"/>
              <w:bottom w:val="single" w:sz="8" w:space="0" w:color="auto"/>
              <w:right w:val="single" w:sz="8" w:space="0" w:color="auto"/>
            </w:tcBorders>
            <w:shd w:val="clear" w:color="000000" w:fill="E7E6E6"/>
            <w:vAlign w:val="center"/>
            <w:hideMark/>
          </w:tcPr>
          <w:p w14:paraId="7ADAABE3"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Not Likely to Adversely Affect</w:t>
            </w:r>
          </w:p>
        </w:tc>
        <w:tc>
          <w:tcPr>
            <w:tcW w:w="2250" w:type="dxa"/>
            <w:tcBorders>
              <w:top w:val="nil"/>
              <w:left w:val="nil"/>
              <w:bottom w:val="single" w:sz="8" w:space="0" w:color="auto"/>
              <w:right w:val="single" w:sz="8" w:space="0" w:color="auto"/>
            </w:tcBorders>
            <w:shd w:val="clear" w:color="000000" w:fill="E7E6E6"/>
            <w:vAlign w:val="center"/>
            <w:hideMark/>
          </w:tcPr>
          <w:p w14:paraId="32011E33" w14:textId="77777777" w:rsidR="00712AB2" w:rsidRPr="008A10CB" w:rsidRDefault="00712AB2" w:rsidP="00F04F96">
            <w:pPr>
              <w:jc w:val="center"/>
              <w:rPr>
                <w:rFonts w:ascii="Calibri" w:hAnsi="Calibri" w:cs="Calibri"/>
                <w:b/>
                <w:bCs/>
                <w:sz w:val="20"/>
              </w:rPr>
            </w:pPr>
            <w:r w:rsidRPr="008A10CB">
              <w:rPr>
                <w:rFonts w:ascii="Calibri" w:hAnsi="Calibri" w:cs="Calibri"/>
                <w:b/>
                <w:bCs/>
                <w:sz w:val="20"/>
              </w:rPr>
              <w:t>Likely to Adversely Affect</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6FF05262" w14:textId="77777777" w:rsidR="00712AB2" w:rsidRPr="008A10CB" w:rsidRDefault="00712AB2" w:rsidP="00F04F96">
            <w:pPr>
              <w:rPr>
                <w:rFonts w:ascii="Calibri" w:hAnsi="Calibri" w:cs="Calibri"/>
                <w:b/>
                <w:bCs/>
                <w:sz w:val="20"/>
              </w:rPr>
            </w:pPr>
          </w:p>
        </w:tc>
      </w:tr>
      <w:tr w:rsidR="002D6124" w:rsidRPr="008A10CB" w14:paraId="4555F12B"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9CB7B13" w14:textId="5A627851" w:rsidR="002D6124" w:rsidRPr="00023EBD" w:rsidRDefault="002D6124" w:rsidP="002D6124">
            <w:pPr>
              <w:rPr>
                <w:rFonts w:ascii="Calibri" w:hAnsi="Calibri" w:cs="Calibri"/>
                <w:sz w:val="20"/>
                <w:szCs w:val="20"/>
              </w:rPr>
            </w:pPr>
            <w:r w:rsidRPr="00023EBD">
              <w:rPr>
                <w:rFonts w:ascii="Calibri" w:hAnsi="Calibri" w:cs="Calibri"/>
                <w:sz w:val="20"/>
                <w:szCs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5E3D3096" w14:textId="42F354B1" w:rsidR="002D6124" w:rsidRPr="00023EBD" w:rsidRDefault="002D6124" w:rsidP="002D6124">
            <w:pPr>
              <w:jc w:val="center"/>
              <w:rPr>
                <w:rFonts w:ascii="Calibri" w:hAnsi="Calibri" w:cs="Calibri"/>
                <w:sz w:val="20"/>
                <w:szCs w:val="20"/>
              </w:rPr>
            </w:pPr>
            <w:r w:rsidRPr="008805B8">
              <w:rPr>
                <w:rFonts w:ascii="Calibri" w:hAnsi="Calibri" w:cs="Calibri"/>
                <w:sz w:val="20"/>
              </w:rPr>
              <w:t>1</w:t>
            </w:r>
          </w:p>
        </w:tc>
        <w:tc>
          <w:tcPr>
            <w:tcW w:w="900" w:type="dxa"/>
            <w:tcBorders>
              <w:top w:val="nil"/>
              <w:left w:val="nil"/>
              <w:bottom w:val="single" w:sz="8" w:space="0" w:color="auto"/>
              <w:right w:val="nil"/>
            </w:tcBorders>
            <w:shd w:val="clear" w:color="auto" w:fill="auto"/>
            <w:vAlign w:val="center"/>
            <w:hideMark/>
          </w:tcPr>
          <w:p w14:paraId="6C7DDC88" w14:textId="34D6120D" w:rsidR="002D6124" w:rsidRPr="00023EBD" w:rsidRDefault="002D6124" w:rsidP="002D6124">
            <w:pPr>
              <w:jc w:val="center"/>
              <w:rPr>
                <w:rFonts w:ascii="Calibri" w:hAnsi="Calibri" w:cs="Calibri"/>
                <w:sz w:val="20"/>
                <w:szCs w:val="20"/>
              </w:rPr>
            </w:pPr>
            <w:r w:rsidRPr="008805B8">
              <w:rPr>
                <w:rFonts w:ascii="Calibri" w:hAnsi="Calibri" w:cs="Calibri"/>
                <w:sz w:val="20"/>
              </w:rPr>
              <w:t>101</w:t>
            </w:r>
          </w:p>
        </w:tc>
        <w:tc>
          <w:tcPr>
            <w:tcW w:w="2160" w:type="dxa"/>
            <w:tcBorders>
              <w:top w:val="nil"/>
              <w:left w:val="single" w:sz="8" w:space="0" w:color="auto"/>
              <w:bottom w:val="single" w:sz="8" w:space="0" w:color="auto"/>
              <w:right w:val="nil"/>
            </w:tcBorders>
            <w:shd w:val="clear" w:color="auto" w:fill="auto"/>
            <w:noWrap/>
            <w:vAlign w:val="center"/>
            <w:hideMark/>
          </w:tcPr>
          <w:p w14:paraId="338238C8" w14:textId="141DA709" w:rsidR="002D6124" w:rsidRPr="00023EBD" w:rsidRDefault="002D6124" w:rsidP="002D6124">
            <w:pPr>
              <w:jc w:val="center"/>
              <w:rPr>
                <w:rFonts w:ascii="Calibri" w:hAnsi="Calibri" w:cs="Calibri"/>
                <w:sz w:val="20"/>
                <w:szCs w:val="20"/>
              </w:rPr>
            </w:pPr>
            <w:r w:rsidRPr="008805B8">
              <w:rPr>
                <w:rFonts w:ascii="Calibri" w:hAnsi="Calibri" w:cs="Calibri"/>
                <w:sz w:val="20"/>
              </w:rPr>
              <w:t>27</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5C90F60" w14:textId="4E318576" w:rsidR="002D6124" w:rsidRPr="00023EBD" w:rsidRDefault="002D6124" w:rsidP="002D6124">
            <w:pPr>
              <w:jc w:val="center"/>
              <w:rPr>
                <w:rFonts w:ascii="Calibri" w:hAnsi="Calibri" w:cs="Calibri"/>
                <w:sz w:val="20"/>
                <w:szCs w:val="20"/>
              </w:rPr>
            </w:pPr>
            <w:r w:rsidRPr="008805B8">
              <w:rPr>
                <w:rFonts w:ascii="Calibri" w:hAnsi="Calibri" w:cs="Calibri"/>
                <w:sz w:val="20"/>
              </w:rPr>
              <w:t>74</w:t>
            </w:r>
          </w:p>
        </w:tc>
        <w:tc>
          <w:tcPr>
            <w:tcW w:w="720" w:type="dxa"/>
            <w:tcBorders>
              <w:top w:val="nil"/>
              <w:left w:val="nil"/>
              <w:bottom w:val="single" w:sz="8" w:space="0" w:color="auto"/>
              <w:right w:val="single" w:sz="8" w:space="0" w:color="auto"/>
            </w:tcBorders>
            <w:shd w:val="clear" w:color="auto" w:fill="auto"/>
            <w:noWrap/>
            <w:vAlign w:val="center"/>
            <w:hideMark/>
          </w:tcPr>
          <w:p w14:paraId="2D5F8AA0" w14:textId="2F7004AC" w:rsidR="002D6124" w:rsidRPr="00023EBD" w:rsidRDefault="002D6124" w:rsidP="002D6124">
            <w:pPr>
              <w:jc w:val="center"/>
              <w:rPr>
                <w:rFonts w:ascii="Calibri" w:hAnsi="Calibri" w:cs="Calibri"/>
                <w:sz w:val="20"/>
                <w:szCs w:val="20"/>
              </w:rPr>
            </w:pPr>
            <w:r w:rsidRPr="008805B8">
              <w:rPr>
                <w:rFonts w:ascii="Calibri" w:hAnsi="Calibri" w:cs="Calibri"/>
                <w:sz w:val="20"/>
              </w:rPr>
              <w:t>102</w:t>
            </w:r>
          </w:p>
        </w:tc>
      </w:tr>
      <w:tr w:rsidR="002D6124" w:rsidRPr="008A10CB" w14:paraId="3F8EA203"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D11DEAF" w14:textId="256BB78A" w:rsidR="002D6124" w:rsidRPr="00023EBD" w:rsidRDefault="002D6124" w:rsidP="002D6124">
            <w:pPr>
              <w:rPr>
                <w:rFonts w:ascii="Calibri" w:hAnsi="Calibri" w:cs="Calibri"/>
                <w:sz w:val="20"/>
                <w:szCs w:val="20"/>
              </w:rPr>
            </w:pPr>
            <w:r w:rsidRPr="00023EBD">
              <w:rPr>
                <w:rFonts w:ascii="Calibri" w:hAnsi="Calibri" w:cs="Calibri"/>
                <w:sz w:val="20"/>
                <w:szCs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01988DCF" w14:textId="2180A90F"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5484F472" w14:textId="0D368407" w:rsidR="002D6124" w:rsidRPr="00023EBD" w:rsidRDefault="002D6124" w:rsidP="002D6124">
            <w:pPr>
              <w:jc w:val="center"/>
              <w:rPr>
                <w:rFonts w:ascii="Calibri" w:hAnsi="Calibri" w:cs="Calibri"/>
                <w:sz w:val="20"/>
                <w:szCs w:val="20"/>
              </w:rPr>
            </w:pPr>
            <w:r w:rsidRPr="008805B8">
              <w:rPr>
                <w:rFonts w:ascii="Calibri" w:hAnsi="Calibri" w:cs="Calibri"/>
                <w:sz w:val="20"/>
              </w:rPr>
              <w:t>107</w:t>
            </w:r>
          </w:p>
        </w:tc>
        <w:tc>
          <w:tcPr>
            <w:tcW w:w="2160" w:type="dxa"/>
            <w:tcBorders>
              <w:top w:val="nil"/>
              <w:left w:val="single" w:sz="8" w:space="0" w:color="auto"/>
              <w:bottom w:val="single" w:sz="8" w:space="0" w:color="auto"/>
              <w:right w:val="nil"/>
            </w:tcBorders>
            <w:shd w:val="clear" w:color="auto" w:fill="auto"/>
            <w:noWrap/>
            <w:vAlign w:val="center"/>
            <w:hideMark/>
          </w:tcPr>
          <w:p w14:paraId="0BA2A6BD" w14:textId="13C58164" w:rsidR="002D6124" w:rsidRPr="00023EBD" w:rsidRDefault="002D6124" w:rsidP="002D6124">
            <w:pPr>
              <w:jc w:val="center"/>
              <w:rPr>
                <w:rFonts w:ascii="Calibri" w:hAnsi="Calibri" w:cs="Calibri"/>
                <w:sz w:val="20"/>
                <w:szCs w:val="20"/>
              </w:rPr>
            </w:pPr>
            <w:r w:rsidRPr="008805B8">
              <w:rPr>
                <w:rFonts w:ascii="Calibri" w:hAnsi="Calibri" w:cs="Calibri"/>
                <w:sz w:val="20"/>
              </w:rPr>
              <w:t>26</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9E3601F" w14:textId="24CB94C9" w:rsidR="002D6124" w:rsidRPr="00023EBD" w:rsidRDefault="002D6124" w:rsidP="002D6124">
            <w:pPr>
              <w:jc w:val="center"/>
              <w:rPr>
                <w:rFonts w:ascii="Calibri" w:hAnsi="Calibri" w:cs="Calibri"/>
                <w:sz w:val="20"/>
                <w:szCs w:val="20"/>
              </w:rPr>
            </w:pPr>
            <w:r w:rsidRPr="008805B8">
              <w:rPr>
                <w:rFonts w:ascii="Calibri" w:hAnsi="Calibri" w:cs="Calibri"/>
                <w:sz w:val="20"/>
              </w:rPr>
              <w:t>81</w:t>
            </w:r>
          </w:p>
        </w:tc>
        <w:tc>
          <w:tcPr>
            <w:tcW w:w="720" w:type="dxa"/>
            <w:tcBorders>
              <w:top w:val="nil"/>
              <w:left w:val="nil"/>
              <w:bottom w:val="single" w:sz="8" w:space="0" w:color="auto"/>
              <w:right w:val="single" w:sz="8" w:space="0" w:color="auto"/>
            </w:tcBorders>
            <w:shd w:val="clear" w:color="auto" w:fill="auto"/>
            <w:noWrap/>
            <w:vAlign w:val="center"/>
            <w:hideMark/>
          </w:tcPr>
          <w:p w14:paraId="22EB7FB2" w14:textId="75EBDEA5" w:rsidR="002D6124" w:rsidRPr="00023EBD" w:rsidRDefault="002D6124" w:rsidP="002D6124">
            <w:pPr>
              <w:jc w:val="center"/>
              <w:rPr>
                <w:rFonts w:ascii="Calibri" w:hAnsi="Calibri" w:cs="Calibri"/>
                <w:sz w:val="20"/>
                <w:szCs w:val="20"/>
              </w:rPr>
            </w:pPr>
            <w:r w:rsidRPr="008805B8">
              <w:rPr>
                <w:rFonts w:ascii="Calibri" w:hAnsi="Calibri" w:cs="Calibri"/>
                <w:sz w:val="20"/>
              </w:rPr>
              <w:t>107</w:t>
            </w:r>
          </w:p>
        </w:tc>
      </w:tr>
      <w:tr w:rsidR="002D6124" w:rsidRPr="008A10CB" w14:paraId="1C99C192"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DEA1877" w14:textId="5664E770" w:rsidR="002D6124" w:rsidRPr="00023EBD" w:rsidRDefault="002D6124" w:rsidP="002D6124">
            <w:pPr>
              <w:rPr>
                <w:rFonts w:ascii="Calibri" w:hAnsi="Calibri" w:cs="Calibri"/>
                <w:sz w:val="20"/>
                <w:szCs w:val="20"/>
              </w:rPr>
            </w:pPr>
            <w:r w:rsidRPr="00023EBD">
              <w:rPr>
                <w:rFonts w:ascii="Calibri" w:hAnsi="Calibri" w:cs="Calibri"/>
                <w:sz w:val="20"/>
                <w:szCs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78B98317" w14:textId="69A5DDC7"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7FE6FED7" w14:textId="1AE25AFD" w:rsidR="002D6124" w:rsidRPr="00023EBD" w:rsidRDefault="002D6124" w:rsidP="002D6124">
            <w:pPr>
              <w:jc w:val="center"/>
              <w:rPr>
                <w:rFonts w:ascii="Calibri" w:hAnsi="Calibri" w:cs="Calibri"/>
                <w:sz w:val="20"/>
                <w:szCs w:val="20"/>
              </w:rPr>
            </w:pPr>
            <w:r w:rsidRPr="008805B8">
              <w:rPr>
                <w:rFonts w:ascii="Calibri" w:hAnsi="Calibri" w:cs="Calibri"/>
                <w:sz w:val="20"/>
              </w:rPr>
              <w:t>38</w:t>
            </w:r>
          </w:p>
        </w:tc>
        <w:tc>
          <w:tcPr>
            <w:tcW w:w="2160" w:type="dxa"/>
            <w:tcBorders>
              <w:top w:val="nil"/>
              <w:left w:val="single" w:sz="8" w:space="0" w:color="auto"/>
              <w:bottom w:val="single" w:sz="8" w:space="0" w:color="auto"/>
              <w:right w:val="nil"/>
            </w:tcBorders>
            <w:shd w:val="clear" w:color="auto" w:fill="auto"/>
            <w:noWrap/>
            <w:vAlign w:val="center"/>
            <w:hideMark/>
          </w:tcPr>
          <w:p w14:paraId="5BCB771D" w14:textId="61CE6E68"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7A57ADD" w14:textId="72AD45E1" w:rsidR="002D6124" w:rsidRPr="00023EBD" w:rsidRDefault="002D6124" w:rsidP="002D6124">
            <w:pPr>
              <w:jc w:val="center"/>
              <w:rPr>
                <w:rFonts w:ascii="Calibri" w:hAnsi="Calibri" w:cs="Calibri"/>
                <w:sz w:val="20"/>
                <w:szCs w:val="20"/>
              </w:rPr>
            </w:pPr>
            <w:r w:rsidRPr="008805B8">
              <w:rPr>
                <w:rFonts w:ascii="Calibri" w:hAnsi="Calibri" w:cs="Calibri"/>
                <w:sz w:val="20"/>
              </w:rPr>
              <w:t>38</w:t>
            </w:r>
          </w:p>
        </w:tc>
        <w:tc>
          <w:tcPr>
            <w:tcW w:w="720" w:type="dxa"/>
            <w:tcBorders>
              <w:top w:val="nil"/>
              <w:left w:val="nil"/>
              <w:bottom w:val="single" w:sz="8" w:space="0" w:color="auto"/>
              <w:right w:val="single" w:sz="8" w:space="0" w:color="auto"/>
            </w:tcBorders>
            <w:shd w:val="clear" w:color="auto" w:fill="auto"/>
            <w:noWrap/>
            <w:vAlign w:val="center"/>
            <w:hideMark/>
          </w:tcPr>
          <w:p w14:paraId="12673645" w14:textId="56EE89BC" w:rsidR="002D6124" w:rsidRPr="00023EBD" w:rsidRDefault="002D6124" w:rsidP="002D6124">
            <w:pPr>
              <w:jc w:val="center"/>
              <w:rPr>
                <w:rFonts w:ascii="Calibri" w:hAnsi="Calibri" w:cs="Calibri"/>
                <w:sz w:val="20"/>
                <w:szCs w:val="20"/>
              </w:rPr>
            </w:pPr>
            <w:r w:rsidRPr="008805B8">
              <w:rPr>
                <w:rFonts w:ascii="Calibri" w:hAnsi="Calibri" w:cs="Calibri"/>
                <w:sz w:val="20"/>
              </w:rPr>
              <w:t>38</w:t>
            </w:r>
          </w:p>
        </w:tc>
      </w:tr>
      <w:tr w:rsidR="002D6124" w:rsidRPr="008A10CB" w14:paraId="14818234"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1A3C2F9" w14:textId="70978D6D" w:rsidR="002D6124" w:rsidRPr="00023EBD" w:rsidRDefault="002D6124" w:rsidP="002D6124">
            <w:pPr>
              <w:rPr>
                <w:rFonts w:ascii="Calibri" w:hAnsi="Calibri" w:cs="Calibri"/>
                <w:sz w:val="20"/>
                <w:szCs w:val="20"/>
              </w:rPr>
            </w:pPr>
            <w:r w:rsidRPr="00023EBD">
              <w:rPr>
                <w:rFonts w:ascii="Calibri" w:hAnsi="Calibri" w:cs="Calibri"/>
                <w:sz w:val="20"/>
                <w:szCs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127BA87F" w14:textId="23AD8AFE"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2CFBC20A" w14:textId="1F9E322E" w:rsidR="002D6124" w:rsidRPr="00023EBD" w:rsidRDefault="002D6124" w:rsidP="002D6124">
            <w:pPr>
              <w:jc w:val="center"/>
              <w:rPr>
                <w:rFonts w:ascii="Calibri" w:hAnsi="Calibri" w:cs="Calibri"/>
                <w:sz w:val="20"/>
                <w:szCs w:val="20"/>
              </w:rPr>
            </w:pPr>
            <w:r w:rsidRPr="008805B8">
              <w:rPr>
                <w:rFonts w:ascii="Calibri" w:hAnsi="Calibri" w:cs="Calibri"/>
                <w:sz w:val="20"/>
              </w:rPr>
              <w:t>46</w:t>
            </w:r>
          </w:p>
        </w:tc>
        <w:tc>
          <w:tcPr>
            <w:tcW w:w="2160" w:type="dxa"/>
            <w:tcBorders>
              <w:top w:val="nil"/>
              <w:left w:val="single" w:sz="8" w:space="0" w:color="auto"/>
              <w:bottom w:val="single" w:sz="8" w:space="0" w:color="auto"/>
              <w:right w:val="nil"/>
            </w:tcBorders>
            <w:shd w:val="clear" w:color="auto" w:fill="auto"/>
            <w:noWrap/>
            <w:vAlign w:val="center"/>
            <w:hideMark/>
          </w:tcPr>
          <w:p w14:paraId="514FD26C" w14:textId="48D29B3A" w:rsidR="002D6124" w:rsidRPr="00023EBD" w:rsidRDefault="002D6124" w:rsidP="002D6124">
            <w:pPr>
              <w:jc w:val="center"/>
              <w:rPr>
                <w:rFonts w:ascii="Calibri" w:hAnsi="Calibri" w:cs="Calibri"/>
                <w:sz w:val="20"/>
                <w:szCs w:val="20"/>
              </w:rPr>
            </w:pPr>
            <w:r w:rsidRPr="008805B8">
              <w:rPr>
                <w:rFonts w:ascii="Calibri" w:hAnsi="Calibri" w:cs="Calibri"/>
                <w:sz w:val="20"/>
              </w:rPr>
              <w:t>14</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7E485C70" w14:textId="72639BA9" w:rsidR="002D6124" w:rsidRPr="00023EBD" w:rsidRDefault="002D6124" w:rsidP="002D6124">
            <w:pPr>
              <w:jc w:val="center"/>
              <w:rPr>
                <w:rFonts w:ascii="Calibri" w:hAnsi="Calibri" w:cs="Calibri"/>
                <w:sz w:val="20"/>
                <w:szCs w:val="20"/>
              </w:rPr>
            </w:pPr>
            <w:r w:rsidRPr="008805B8">
              <w:rPr>
                <w:rFonts w:ascii="Calibri" w:hAnsi="Calibri" w:cs="Calibri"/>
                <w:sz w:val="20"/>
              </w:rPr>
              <w:t>32</w:t>
            </w:r>
          </w:p>
        </w:tc>
        <w:tc>
          <w:tcPr>
            <w:tcW w:w="720" w:type="dxa"/>
            <w:tcBorders>
              <w:top w:val="nil"/>
              <w:left w:val="nil"/>
              <w:bottom w:val="single" w:sz="8" w:space="0" w:color="auto"/>
              <w:right w:val="single" w:sz="8" w:space="0" w:color="auto"/>
            </w:tcBorders>
            <w:shd w:val="clear" w:color="auto" w:fill="auto"/>
            <w:noWrap/>
            <w:vAlign w:val="center"/>
            <w:hideMark/>
          </w:tcPr>
          <w:p w14:paraId="390F2169" w14:textId="249E7502" w:rsidR="002D6124" w:rsidRPr="00023EBD" w:rsidRDefault="002D6124" w:rsidP="002D6124">
            <w:pPr>
              <w:jc w:val="center"/>
              <w:rPr>
                <w:rFonts w:ascii="Calibri" w:hAnsi="Calibri" w:cs="Calibri"/>
                <w:sz w:val="20"/>
                <w:szCs w:val="20"/>
              </w:rPr>
            </w:pPr>
            <w:r w:rsidRPr="008805B8">
              <w:rPr>
                <w:rFonts w:ascii="Calibri" w:hAnsi="Calibri" w:cs="Calibri"/>
                <w:sz w:val="20"/>
              </w:rPr>
              <w:t>46</w:t>
            </w:r>
          </w:p>
        </w:tc>
      </w:tr>
      <w:tr w:rsidR="002D6124" w:rsidRPr="008A10CB" w14:paraId="3135B14E"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76CBC30" w14:textId="17F70D2C" w:rsidR="002D6124" w:rsidRPr="00023EBD" w:rsidRDefault="002D6124" w:rsidP="002D6124">
            <w:pPr>
              <w:rPr>
                <w:rFonts w:ascii="Calibri" w:hAnsi="Calibri" w:cs="Calibri"/>
                <w:sz w:val="20"/>
                <w:szCs w:val="20"/>
              </w:rPr>
            </w:pPr>
            <w:r w:rsidRPr="00023EBD">
              <w:rPr>
                <w:rFonts w:ascii="Calibri" w:hAnsi="Calibri" w:cs="Calibri"/>
                <w:sz w:val="20"/>
                <w:szCs w:val="20"/>
              </w:rPr>
              <w:t>Fish</w:t>
            </w:r>
          </w:p>
        </w:tc>
        <w:tc>
          <w:tcPr>
            <w:tcW w:w="810" w:type="dxa"/>
            <w:tcBorders>
              <w:top w:val="nil"/>
              <w:left w:val="nil"/>
              <w:bottom w:val="single" w:sz="8" w:space="0" w:color="auto"/>
              <w:right w:val="single" w:sz="8" w:space="0" w:color="auto"/>
            </w:tcBorders>
            <w:shd w:val="clear" w:color="auto" w:fill="auto"/>
            <w:vAlign w:val="center"/>
            <w:hideMark/>
          </w:tcPr>
          <w:p w14:paraId="317C593A" w14:textId="65842EF5"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0A77CD1B" w14:textId="7555123D" w:rsidR="002D6124" w:rsidRPr="00023EBD" w:rsidRDefault="002D6124" w:rsidP="002D6124">
            <w:pPr>
              <w:jc w:val="center"/>
              <w:rPr>
                <w:rFonts w:ascii="Calibri" w:hAnsi="Calibri" w:cs="Calibri"/>
                <w:sz w:val="20"/>
                <w:szCs w:val="20"/>
              </w:rPr>
            </w:pPr>
            <w:r w:rsidRPr="008805B8">
              <w:rPr>
                <w:rFonts w:ascii="Calibri" w:hAnsi="Calibri" w:cs="Calibri"/>
                <w:sz w:val="20"/>
              </w:rPr>
              <w:t>192</w:t>
            </w:r>
          </w:p>
        </w:tc>
        <w:tc>
          <w:tcPr>
            <w:tcW w:w="2160" w:type="dxa"/>
            <w:tcBorders>
              <w:top w:val="nil"/>
              <w:left w:val="single" w:sz="8" w:space="0" w:color="auto"/>
              <w:bottom w:val="single" w:sz="8" w:space="0" w:color="auto"/>
              <w:right w:val="nil"/>
            </w:tcBorders>
            <w:shd w:val="clear" w:color="auto" w:fill="auto"/>
            <w:noWrap/>
            <w:vAlign w:val="center"/>
            <w:hideMark/>
          </w:tcPr>
          <w:p w14:paraId="31043FC7" w14:textId="182E308D" w:rsidR="002D6124" w:rsidRPr="00023EBD" w:rsidRDefault="002D6124" w:rsidP="002D6124">
            <w:pPr>
              <w:jc w:val="center"/>
              <w:rPr>
                <w:rFonts w:ascii="Calibri" w:hAnsi="Calibri" w:cs="Calibri"/>
                <w:sz w:val="20"/>
                <w:szCs w:val="20"/>
              </w:rPr>
            </w:pPr>
            <w:r w:rsidRPr="008805B8">
              <w:rPr>
                <w:rFonts w:ascii="Calibri" w:hAnsi="Calibri" w:cs="Calibri"/>
                <w:sz w:val="20"/>
              </w:rPr>
              <w:t>11</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0B0F8D43" w14:textId="63BCA041" w:rsidR="002D6124" w:rsidRPr="00023EBD" w:rsidRDefault="002D6124" w:rsidP="002D6124">
            <w:pPr>
              <w:jc w:val="center"/>
              <w:rPr>
                <w:rFonts w:ascii="Calibri" w:hAnsi="Calibri" w:cs="Calibri"/>
                <w:sz w:val="20"/>
                <w:szCs w:val="20"/>
              </w:rPr>
            </w:pPr>
            <w:r w:rsidRPr="008805B8">
              <w:rPr>
                <w:rFonts w:ascii="Calibri" w:hAnsi="Calibri" w:cs="Calibri"/>
                <w:sz w:val="20"/>
              </w:rPr>
              <w:t>181</w:t>
            </w:r>
          </w:p>
        </w:tc>
        <w:tc>
          <w:tcPr>
            <w:tcW w:w="720" w:type="dxa"/>
            <w:tcBorders>
              <w:top w:val="nil"/>
              <w:left w:val="nil"/>
              <w:bottom w:val="single" w:sz="8" w:space="0" w:color="auto"/>
              <w:right w:val="single" w:sz="8" w:space="0" w:color="auto"/>
            </w:tcBorders>
            <w:shd w:val="clear" w:color="auto" w:fill="auto"/>
            <w:noWrap/>
            <w:vAlign w:val="center"/>
            <w:hideMark/>
          </w:tcPr>
          <w:p w14:paraId="6EAB0041" w14:textId="41E7A16B" w:rsidR="002D6124" w:rsidRPr="00023EBD" w:rsidRDefault="002D6124" w:rsidP="002D6124">
            <w:pPr>
              <w:jc w:val="center"/>
              <w:rPr>
                <w:rFonts w:ascii="Calibri" w:hAnsi="Calibri" w:cs="Calibri"/>
                <w:sz w:val="20"/>
                <w:szCs w:val="20"/>
              </w:rPr>
            </w:pPr>
            <w:r w:rsidRPr="008805B8">
              <w:rPr>
                <w:rFonts w:ascii="Calibri" w:hAnsi="Calibri" w:cs="Calibri"/>
                <w:sz w:val="20"/>
              </w:rPr>
              <w:t>192</w:t>
            </w:r>
          </w:p>
        </w:tc>
      </w:tr>
      <w:tr w:rsidR="002D6124" w:rsidRPr="008A10CB" w14:paraId="70741F21"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3DFC231" w14:textId="5ED7BE89" w:rsidR="002D6124" w:rsidRPr="00023EBD" w:rsidRDefault="002D6124" w:rsidP="002D6124">
            <w:pPr>
              <w:rPr>
                <w:rFonts w:ascii="Calibri" w:hAnsi="Calibri" w:cs="Calibri"/>
                <w:sz w:val="20"/>
                <w:szCs w:val="20"/>
              </w:rPr>
            </w:pPr>
            <w:r w:rsidRPr="00023EBD">
              <w:rPr>
                <w:rFonts w:ascii="Calibri" w:hAnsi="Calibri" w:cs="Calibri"/>
                <w:sz w:val="20"/>
                <w:szCs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6A29CF3A" w14:textId="1F8D680A"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60FFE6F8" w14:textId="50FB976D" w:rsidR="002D6124" w:rsidRPr="00023EBD" w:rsidRDefault="002D6124" w:rsidP="002D6124">
            <w:pPr>
              <w:jc w:val="center"/>
              <w:rPr>
                <w:rFonts w:ascii="Calibri" w:hAnsi="Calibri" w:cs="Calibri"/>
                <w:sz w:val="20"/>
                <w:szCs w:val="20"/>
              </w:rPr>
            </w:pPr>
            <w:r w:rsidRPr="008805B8">
              <w:rPr>
                <w:rFonts w:ascii="Calibri" w:hAnsi="Calibri" w:cs="Calibri"/>
                <w:sz w:val="20"/>
              </w:rPr>
              <w:t>950</w:t>
            </w:r>
          </w:p>
        </w:tc>
        <w:tc>
          <w:tcPr>
            <w:tcW w:w="2160" w:type="dxa"/>
            <w:tcBorders>
              <w:top w:val="nil"/>
              <w:left w:val="single" w:sz="8" w:space="0" w:color="auto"/>
              <w:bottom w:val="single" w:sz="8" w:space="0" w:color="auto"/>
              <w:right w:val="nil"/>
            </w:tcBorders>
            <w:shd w:val="clear" w:color="auto" w:fill="auto"/>
            <w:noWrap/>
            <w:vAlign w:val="center"/>
            <w:hideMark/>
          </w:tcPr>
          <w:p w14:paraId="544C9E72" w14:textId="47F26E22" w:rsidR="002D6124" w:rsidRPr="00023EBD" w:rsidRDefault="002D6124" w:rsidP="002D6124">
            <w:pPr>
              <w:jc w:val="center"/>
              <w:rPr>
                <w:rFonts w:ascii="Calibri" w:hAnsi="Calibri" w:cs="Calibri"/>
                <w:sz w:val="20"/>
                <w:szCs w:val="20"/>
              </w:rPr>
            </w:pPr>
            <w:r w:rsidRPr="008805B8">
              <w:rPr>
                <w:rFonts w:ascii="Calibri" w:hAnsi="Calibri" w:cs="Calibri"/>
                <w:sz w:val="20"/>
              </w:rPr>
              <w:t>38</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A6759E7" w14:textId="26106618" w:rsidR="002D6124" w:rsidRPr="00023EBD" w:rsidRDefault="002D6124" w:rsidP="002D6124">
            <w:pPr>
              <w:jc w:val="center"/>
              <w:rPr>
                <w:rFonts w:ascii="Calibri" w:hAnsi="Calibri" w:cs="Calibri"/>
                <w:sz w:val="20"/>
                <w:szCs w:val="20"/>
              </w:rPr>
            </w:pPr>
            <w:r w:rsidRPr="008805B8">
              <w:rPr>
                <w:rFonts w:ascii="Calibri" w:hAnsi="Calibri" w:cs="Calibri"/>
                <w:sz w:val="20"/>
              </w:rPr>
              <w:t>912</w:t>
            </w:r>
          </w:p>
        </w:tc>
        <w:tc>
          <w:tcPr>
            <w:tcW w:w="720" w:type="dxa"/>
            <w:tcBorders>
              <w:top w:val="nil"/>
              <w:left w:val="nil"/>
              <w:bottom w:val="single" w:sz="8" w:space="0" w:color="auto"/>
              <w:right w:val="single" w:sz="8" w:space="0" w:color="auto"/>
            </w:tcBorders>
            <w:shd w:val="clear" w:color="auto" w:fill="auto"/>
            <w:noWrap/>
            <w:vAlign w:val="center"/>
            <w:hideMark/>
          </w:tcPr>
          <w:p w14:paraId="09F0A845" w14:textId="76899E66" w:rsidR="002D6124" w:rsidRPr="00023EBD" w:rsidRDefault="002D6124" w:rsidP="002D6124">
            <w:pPr>
              <w:jc w:val="center"/>
              <w:rPr>
                <w:rFonts w:ascii="Calibri" w:hAnsi="Calibri" w:cs="Calibri"/>
                <w:sz w:val="20"/>
                <w:szCs w:val="20"/>
              </w:rPr>
            </w:pPr>
            <w:r w:rsidRPr="008805B8">
              <w:rPr>
                <w:rFonts w:ascii="Calibri" w:hAnsi="Calibri" w:cs="Calibri"/>
                <w:sz w:val="20"/>
              </w:rPr>
              <w:t>950</w:t>
            </w:r>
          </w:p>
        </w:tc>
      </w:tr>
      <w:tr w:rsidR="002D6124" w:rsidRPr="008A10CB" w14:paraId="40C498B4"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31DB1A71" w14:textId="56B49666" w:rsidR="002D6124" w:rsidRPr="00023EBD" w:rsidRDefault="002D6124" w:rsidP="002D6124">
            <w:pPr>
              <w:rPr>
                <w:rFonts w:ascii="Calibri" w:hAnsi="Calibri" w:cs="Calibri"/>
                <w:sz w:val="20"/>
                <w:szCs w:val="20"/>
              </w:rPr>
            </w:pPr>
            <w:r w:rsidRPr="00023EBD">
              <w:rPr>
                <w:rFonts w:ascii="Calibri" w:hAnsi="Calibri" w:cs="Calibri"/>
                <w:sz w:val="20"/>
                <w:szCs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3D9238CB" w14:textId="3256E636"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nil"/>
            </w:tcBorders>
            <w:shd w:val="clear" w:color="auto" w:fill="auto"/>
            <w:vAlign w:val="center"/>
            <w:hideMark/>
          </w:tcPr>
          <w:p w14:paraId="2D99921F" w14:textId="5397338C" w:rsidR="002D6124" w:rsidRPr="00023EBD" w:rsidRDefault="002D6124" w:rsidP="002D6124">
            <w:pPr>
              <w:jc w:val="center"/>
              <w:rPr>
                <w:rFonts w:ascii="Calibri" w:hAnsi="Calibri" w:cs="Calibri"/>
                <w:sz w:val="20"/>
                <w:szCs w:val="20"/>
              </w:rPr>
            </w:pPr>
            <w:r w:rsidRPr="008805B8">
              <w:rPr>
                <w:rFonts w:ascii="Calibri" w:hAnsi="Calibri" w:cs="Calibri"/>
                <w:sz w:val="20"/>
              </w:rPr>
              <w:t>209</w:t>
            </w:r>
          </w:p>
        </w:tc>
        <w:tc>
          <w:tcPr>
            <w:tcW w:w="2160" w:type="dxa"/>
            <w:tcBorders>
              <w:top w:val="nil"/>
              <w:left w:val="single" w:sz="8" w:space="0" w:color="auto"/>
              <w:bottom w:val="single" w:sz="8" w:space="0" w:color="auto"/>
              <w:right w:val="nil"/>
            </w:tcBorders>
            <w:shd w:val="clear" w:color="auto" w:fill="auto"/>
            <w:noWrap/>
            <w:vAlign w:val="center"/>
            <w:hideMark/>
          </w:tcPr>
          <w:p w14:paraId="778788F3" w14:textId="4E91EDCE" w:rsidR="002D6124" w:rsidRPr="00023EBD" w:rsidRDefault="002D6124" w:rsidP="002D6124">
            <w:pPr>
              <w:jc w:val="center"/>
              <w:rPr>
                <w:rFonts w:ascii="Calibri" w:hAnsi="Calibri" w:cs="Calibri"/>
                <w:sz w:val="20"/>
                <w:szCs w:val="20"/>
              </w:rPr>
            </w:pPr>
            <w:r w:rsidRPr="008805B8">
              <w:rPr>
                <w:rFonts w:ascii="Calibri" w:hAnsi="Calibri" w:cs="Calibri"/>
                <w:sz w:val="20"/>
              </w:rPr>
              <w:t>24</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259DBC61" w14:textId="39D8A982" w:rsidR="002D6124" w:rsidRPr="00023EBD" w:rsidRDefault="002D6124" w:rsidP="002D6124">
            <w:pPr>
              <w:jc w:val="center"/>
              <w:rPr>
                <w:rFonts w:ascii="Calibri" w:hAnsi="Calibri" w:cs="Calibri"/>
                <w:sz w:val="20"/>
                <w:szCs w:val="20"/>
              </w:rPr>
            </w:pPr>
            <w:r w:rsidRPr="008805B8">
              <w:rPr>
                <w:rFonts w:ascii="Calibri" w:hAnsi="Calibri" w:cs="Calibri"/>
                <w:sz w:val="20"/>
              </w:rPr>
              <w:t>185</w:t>
            </w:r>
          </w:p>
        </w:tc>
        <w:tc>
          <w:tcPr>
            <w:tcW w:w="720" w:type="dxa"/>
            <w:tcBorders>
              <w:top w:val="nil"/>
              <w:left w:val="nil"/>
              <w:bottom w:val="single" w:sz="8" w:space="0" w:color="auto"/>
              <w:right w:val="single" w:sz="8" w:space="0" w:color="auto"/>
            </w:tcBorders>
            <w:shd w:val="clear" w:color="auto" w:fill="auto"/>
            <w:noWrap/>
            <w:vAlign w:val="center"/>
            <w:hideMark/>
          </w:tcPr>
          <w:p w14:paraId="2F509082" w14:textId="37C9E14F" w:rsidR="002D6124" w:rsidRPr="00023EBD" w:rsidRDefault="002D6124" w:rsidP="002D6124">
            <w:pPr>
              <w:jc w:val="center"/>
              <w:rPr>
                <w:rFonts w:ascii="Calibri" w:hAnsi="Calibri" w:cs="Calibri"/>
                <w:sz w:val="20"/>
                <w:szCs w:val="20"/>
              </w:rPr>
            </w:pPr>
            <w:r w:rsidRPr="008805B8">
              <w:rPr>
                <w:rFonts w:ascii="Calibri" w:hAnsi="Calibri" w:cs="Calibri"/>
                <w:sz w:val="20"/>
              </w:rPr>
              <w:t>209</w:t>
            </w:r>
          </w:p>
        </w:tc>
      </w:tr>
      <w:tr w:rsidR="002D6124" w:rsidRPr="008A10CB" w14:paraId="15F45646"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51230430" w14:textId="286AFAC1" w:rsidR="002D6124" w:rsidRPr="00023EBD" w:rsidRDefault="002D6124" w:rsidP="002D6124">
            <w:pPr>
              <w:rPr>
                <w:rFonts w:ascii="Calibri" w:hAnsi="Calibri" w:cs="Calibri"/>
                <w:sz w:val="20"/>
                <w:szCs w:val="20"/>
              </w:rPr>
            </w:pPr>
            <w:r w:rsidRPr="00023EBD">
              <w:rPr>
                <w:rFonts w:ascii="Calibri" w:hAnsi="Calibri" w:cs="Calibri"/>
                <w:sz w:val="20"/>
                <w:szCs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47647443" w14:textId="51E9DA8F" w:rsidR="002D6124" w:rsidRPr="00023EBD" w:rsidRDefault="002D6124" w:rsidP="002D6124">
            <w:pPr>
              <w:jc w:val="center"/>
              <w:rPr>
                <w:rFonts w:ascii="Calibri" w:hAnsi="Calibri" w:cs="Calibri"/>
                <w:sz w:val="20"/>
                <w:szCs w:val="20"/>
              </w:rPr>
            </w:pPr>
            <w:r w:rsidRPr="008805B8">
              <w:rPr>
                <w:rFonts w:ascii="Calibri" w:hAnsi="Calibri" w:cs="Calibri"/>
                <w:sz w:val="20"/>
              </w:rPr>
              <w:t>2</w:t>
            </w:r>
          </w:p>
        </w:tc>
        <w:tc>
          <w:tcPr>
            <w:tcW w:w="900" w:type="dxa"/>
            <w:tcBorders>
              <w:top w:val="nil"/>
              <w:left w:val="nil"/>
              <w:bottom w:val="single" w:sz="8" w:space="0" w:color="auto"/>
              <w:right w:val="nil"/>
            </w:tcBorders>
            <w:shd w:val="clear" w:color="auto" w:fill="auto"/>
            <w:vAlign w:val="center"/>
            <w:hideMark/>
          </w:tcPr>
          <w:p w14:paraId="73CD0B79" w14:textId="29DC6A60" w:rsidR="002D6124" w:rsidRPr="00023EBD" w:rsidRDefault="002D6124" w:rsidP="002D6124">
            <w:pPr>
              <w:jc w:val="center"/>
              <w:rPr>
                <w:rFonts w:ascii="Calibri" w:hAnsi="Calibri" w:cs="Calibri"/>
                <w:sz w:val="20"/>
                <w:szCs w:val="20"/>
              </w:rPr>
            </w:pPr>
            <w:r w:rsidRPr="008805B8">
              <w:rPr>
                <w:rFonts w:ascii="Calibri" w:hAnsi="Calibri" w:cs="Calibri"/>
                <w:sz w:val="20"/>
              </w:rPr>
              <w:t>159</w:t>
            </w:r>
          </w:p>
        </w:tc>
        <w:tc>
          <w:tcPr>
            <w:tcW w:w="2160" w:type="dxa"/>
            <w:tcBorders>
              <w:top w:val="nil"/>
              <w:left w:val="single" w:sz="8" w:space="0" w:color="auto"/>
              <w:bottom w:val="single" w:sz="8" w:space="0" w:color="auto"/>
              <w:right w:val="nil"/>
            </w:tcBorders>
            <w:shd w:val="clear" w:color="auto" w:fill="auto"/>
            <w:noWrap/>
            <w:vAlign w:val="center"/>
            <w:hideMark/>
          </w:tcPr>
          <w:p w14:paraId="1C3E18B2" w14:textId="2AED7F2F" w:rsidR="002D6124" w:rsidRPr="00023EBD" w:rsidRDefault="002D6124" w:rsidP="002D6124">
            <w:pPr>
              <w:jc w:val="center"/>
              <w:rPr>
                <w:rFonts w:ascii="Calibri" w:hAnsi="Calibri" w:cs="Calibri"/>
                <w:sz w:val="20"/>
                <w:szCs w:val="20"/>
              </w:rPr>
            </w:pPr>
            <w:r w:rsidRPr="008805B8">
              <w:rPr>
                <w:rFonts w:ascii="Calibri" w:hAnsi="Calibri" w:cs="Calibri"/>
                <w:sz w:val="20"/>
              </w:rPr>
              <w:t>22</w:t>
            </w:r>
          </w:p>
        </w:tc>
        <w:tc>
          <w:tcPr>
            <w:tcW w:w="2250" w:type="dxa"/>
            <w:tcBorders>
              <w:top w:val="nil"/>
              <w:left w:val="single" w:sz="8" w:space="0" w:color="auto"/>
              <w:bottom w:val="single" w:sz="8" w:space="0" w:color="auto"/>
              <w:right w:val="single" w:sz="8" w:space="0" w:color="auto"/>
            </w:tcBorders>
            <w:shd w:val="clear" w:color="auto" w:fill="auto"/>
            <w:noWrap/>
            <w:vAlign w:val="center"/>
            <w:hideMark/>
          </w:tcPr>
          <w:p w14:paraId="15462255" w14:textId="2E4472CC" w:rsidR="002D6124" w:rsidRPr="00023EBD" w:rsidRDefault="002D6124" w:rsidP="002D6124">
            <w:pPr>
              <w:jc w:val="center"/>
              <w:rPr>
                <w:rFonts w:ascii="Calibri" w:hAnsi="Calibri" w:cs="Calibri"/>
                <w:sz w:val="20"/>
                <w:szCs w:val="20"/>
              </w:rPr>
            </w:pPr>
            <w:r w:rsidRPr="008805B8">
              <w:rPr>
                <w:rFonts w:ascii="Calibri" w:hAnsi="Calibri" w:cs="Calibri"/>
                <w:sz w:val="20"/>
              </w:rPr>
              <w:t>137</w:t>
            </w:r>
          </w:p>
        </w:tc>
        <w:tc>
          <w:tcPr>
            <w:tcW w:w="720" w:type="dxa"/>
            <w:tcBorders>
              <w:top w:val="nil"/>
              <w:left w:val="nil"/>
              <w:bottom w:val="single" w:sz="8" w:space="0" w:color="auto"/>
              <w:right w:val="single" w:sz="8" w:space="0" w:color="auto"/>
            </w:tcBorders>
            <w:shd w:val="clear" w:color="auto" w:fill="auto"/>
            <w:noWrap/>
            <w:vAlign w:val="center"/>
            <w:hideMark/>
          </w:tcPr>
          <w:p w14:paraId="3E9FDD29" w14:textId="54B828D9" w:rsidR="002D6124" w:rsidRPr="00023EBD" w:rsidRDefault="002D6124" w:rsidP="002D6124">
            <w:pPr>
              <w:jc w:val="center"/>
              <w:rPr>
                <w:rFonts w:ascii="Calibri" w:hAnsi="Calibri" w:cs="Calibri"/>
                <w:sz w:val="20"/>
                <w:szCs w:val="20"/>
              </w:rPr>
            </w:pPr>
            <w:r w:rsidRPr="008805B8">
              <w:rPr>
                <w:rFonts w:ascii="Calibri" w:hAnsi="Calibri" w:cs="Calibri"/>
                <w:sz w:val="20"/>
              </w:rPr>
              <w:t>161</w:t>
            </w:r>
          </w:p>
        </w:tc>
      </w:tr>
      <w:tr w:rsidR="002D6124" w:rsidRPr="008A10CB" w14:paraId="64FE1EFC" w14:textId="77777777" w:rsidTr="00F04F96">
        <w:trPr>
          <w:trHeight w:val="300"/>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599E6FE1" w14:textId="754EDF71" w:rsidR="002D6124" w:rsidRPr="00023EBD" w:rsidRDefault="002D6124" w:rsidP="002D6124">
            <w:pPr>
              <w:rPr>
                <w:rFonts w:ascii="Calibri" w:hAnsi="Calibri" w:cs="Calibri"/>
                <w:sz w:val="20"/>
                <w:szCs w:val="20"/>
              </w:rPr>
            </w:pPr>
            <w:r w:rsidRPr="00023EBD">
              <w:rPr>
                <w:rFonts w:ascii="Calibri" w:hAnsi="Calibri" w:cs="Calibri"/>
                <w:sz w:val="20"/>
                <w:szCs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2E36EA46" w14:textId="07F76EB2" w:rsidR="002D6124" w:rsidRPr="00023EBD" w:rsidRDefault="002D6124" w:rsidP="002D6124">
            <w:pPr>
              <w:jc w:val="center"/>
              <w:rPr>
                <w:rFonts w:ascii="Calibri" w:hAnsi="Calibri" w:cs="Calibri"/>
                <w:sz w:val="20"/>
                <w:szCs w:val="20"/>
              </w:rPr>
            </w:pPr>
            <w:r w:rsidRPr="008805B8">
              <w:rPr>
                <w:rFonts w:ascii="Calibri" w:hAnsi="Calibri" w:cs="Calibri"/>
                <w:sz w:val="20"/>
              </w:rPr>
              <w:t>3</w:t>
            </w:r>
          </w:p>
        </w:tc>
        <w:tc>
          <w:tcPr>
            <w:tcW w:w="900" w:type="dxa"/>
            <w:tcBorders>
              <w:top w:val="nil"/>
              <w:left w:val="nil"/>
              <w:bottom w:val="single" w:sz="8" w:space="0" w:color="auto"/>
              <w:right w:val="single" w:sz="8" w:space="0" w:color="auto"/>
            </w:tcBorders>
            <w:shd w:val="clear" w:color="000000" w:fill="D9D9D9"/>
            <w:vAlign w:val="center"/>
            <w:hideMark/>
          </w:tcPr>
          <w:p w14:paraId="0BC6499D" w14:textId="508E6F94" w:rsidR="002D6124" w:rsidRPr="00023EBD" w:rsidRDefault="002D6124" w:rsidP="002D6124">
            <w:pPr>
              <w:jc w:val="center"/>
              <w:rPr>
                <w:rFonts w:ascii="Calibri" w:hAnsi="Calibri" w:cs="Calibri"/>
                <w:sz w:val="20"/>
                <w:szCs w:val="20"/>
              </w:rPr>
            </w:pPr>
            <w:r w:rsidRPr="008805B8">
              <w:rPr>
                <w:rFonts w:ascii="Calibri" w:hAnsi="Calibri" w:cs="Calibri"/>
                <w:sz w:val="20"/>
              </w:rPr>
              <w:t>1802</w:t>
            </w:r>
          </w:p>
        </w:tc>
        <w:tc>
          <w:tcPr>
            <w:tcW w:w="2160" w:type="dxa"/>
            <w:tcBorders>
              <w:top w:val="nil"/>
              <w:left w:val="nil"/>
              <w:bottom w:val="single" w:sz="8" w:space="0" w:color="auto"/>
              <w:right w:val="single" w:sz="8" w:space="0" w:color="auto"/>
            </w:tcBorders>
            <w:shd w:val="clear" w:color="000000" w:fill="D9D9D9"/>
            <w:vAlign w:val="center"/>
            <w:hideMark/>
          </w:tcPr>
          <w:p w14:paraId="5102B8C4" w14:textId="60E9926A" w:rsidR="002D6124" w:rsidRPr="00023EBD" w:rsidRDefault="002D6124" w:rsidP="002D6124">
            <w:pPr>
              <w:jc w:val="center"/>
              <w:rPr>
                <w:rFonts w:ascii="Calibri" w:hAnsi="Calibri" w:cs="Calibri"/>
                <w:sz w:val="20"/>
                <w:szCs w:val="20"/>
              </w:rPr>
            </w:pPr>
            <w:r w:rsidRPr="008805B8">
              <w:rPr>
                <w:rFonts w:ascii="Calibri" w:hAnsi="Calibri" w:cs="Calibri"/>
                <w:sz w:val="20"/>
              </w:rPr>
              <w:t>162</w:t>
            </w:r>
          </w:p>
        </w:tc>
        <w:tc>
          <w:tcPr>
            <w:tcW w:w="2250" w:type="dxa"/>
            <w:tcBorders>
              <w:top w:val="nil"/>
              <w:left w:val="nil"/>
              <w:bottom w:val="single" w:sz="8" w:space="0" w:color="auto"/>
              <w:right w:val="single" w:sz="8" w:space="0" w:color="auto"/>
            </w:tcBorders>
            <w:shd w:val="clear" w:color="000000" w:fill="D9D9D9"/>
            <w:vAlign w:val="center"/>
            <w:hideMark/>
          </w:tcPr>
          <w:p w14:paraId="707721E6" w14:textId="2E669898" w:rsidR="002D6124" w:rsidRPr="00023EBD" w:rsidRDefault="002D6124" w:rsidP="002D6124">
            <w:pPr>
              <w:jc w:val="center"/>
              <w:rPr>
                <w:rFonts w:ascii="Calibri" w:hAnsi="Calibri" w:cs="Calibri"/>
                <w:sz w:val="20"/>
                <w:szCs w:val="20"/>
              </w:rPr>
            </w:pPr>
            <w:r w:rsidRPr="008805B8">
              <w:rPr>
                <w:rFonts w:ascii="Calibri" w:hAnsi="Calibri" w:cs="Calibri"/>
                <w:sz w:val="20"/>
              </w:rPr>
              <w:t>1640</w:t>
            </w:r>
          </w:p>
        </w:tc>
        <w:tc>
          <w:tcPr>
            <w:tcW w:w="720" w:type="dxa"/>
            <w:tcBorders>
              <w:top w:val="nil"/>
              <w:left w:val="nil"/>
              <w:bottom w:val="single" w:sz="8" w:space="0" w:color="auto"/>
              <w:right w:val="single" w:sz="8" w:space="0" w:color="auto"/>
            </w:tcBorders>
            <w:shd w:val="clear" w:color="000000" w:fill="D9D9D9"/>
            <w:noWrap/>
            <w:vAlign w:val="center"/>
            <w:hideMark/>
          </w:tcPr>
          <w:p w14:paraId="255C6792" w14:textId="50BB1F06" w:rsidR="002D6124" w:rsidRPr="00023EBD" w:rsidRDefault="002D6124" w:rsidP="002D6124">
            <w:pPr>
              <w:jc w:val="center"/>
              <w:rPr>
                <w:rFonts w:ascii="Calibri" w:hAnsi="Calibri" w:cs="Calibri"/>
                <w:sz w:val="20"/>
                <w:szCs w:val="20"/>
              </w:rPr>
            </w:pPr>
            <w:r w:rsidRPr="008805B8">
              <w:rPr>
                <w:rFonts w:ascii="Calibri" w:hAnsi="Calibri" w:cs="Calibri"/>
                <w:sz w:val="20"/>
              </w:rPr>
              <w:t>1805</w:t>
            </w:r>
          </w:p>
        </w:tc>
      </w:tr>
      <w:tr w:rsidR="002D6124" w:rsidRPr="008A10CB" w14:paraId="7E9DFCD3" w14:textId="77777777" w:rsidTr="00F04F96">
        <w:trPr>
          <w:trHeight w:val="324"/>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03F78650" w14:textId="276CDC8E" w:rsidR="002D6124" w:rsidRPr="00023EBD" w:rsidRDefault="002D6124" w:rsidP="002D6124">
            <w:pPr>
              <w:rPr>
                <w:rFonts w:ascii="Calibri" w:hAnsi="Calibri" w:cs="Calibri"/>
                <w:sz w:val="20"/>
                <w:szCs w:val="20"/>
              </w:rPr>
            </w:pPr>
            <w:r w:rsidRPr="00023EBD">
              <w:rPr>
                <w:rFonts w:ascii="Calibri" w:hAnsi="Calibri" w:cs="Calibri"/>
                <w:sz w:val="20"/>
                <w:szCs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49E85998" w14:textId="24D057AE" w:rsidR="002D6124" w:rsidRPr="00023EBD" w:rsidRDefault="002D6124" w:rsidP="002D6124">
            <w:pPr>
              <w:jc w:val="center"/>
              <w:rPr>
                <w:rFonts w:ascii="Calibri" w:hAnsi="Calibri" w:cs="Calibri"/>
                <w:sz w:val="20"/>
                <w:szCs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000000" w:fill="D9D9D9"/>
            <w:noWrap/>
            <w:vAlign w:val="center"/>
            <w:hideMark/>
          </w:tcPr>
          <w:p w14:paraId="71C1EE56" w14:textId="5A92ED0E" w:rsidR="002D6124" w:rsidRPr="00023EBD" w:rsidRDefault="002D6124" w:rsidP="002D6124">
            <w:pPr>
              <w:jc w:val="center"/>
              <w:rPr>
                <w:rFonts w:ascii="Calibri" w:hAnsi="Calibri" w:cs="Calibri"/>
                <w:sz w:val="20"/>
                <w:szCs w:val="20"/>
              </w:rPr>
            </w:pPr>
            <w:r w:rsidRPr="008805B8">
              <w:rPr>
                <w:rFonts w:ascii="Calibri" w:hAnsi="Calibri" w:cs="Calibri"/>
                <w:sz w:val="20"/>
              </w:rPr>
              <w:t>100%</w:t>
            </w:r>
          </w:p>
        </w:tc>
        <w:tc>
          <w:tcPr>
            <w:tcW w:w="2160" w:type="dxa"/>
            <w:tcBorders>
              <w:top w:val="nil"/>
              <w:left w:val="nil"/>
              <w:bottom w:val="single" w:sz="8" w:space="0" w:color="auto"/>
              <w:right w:val="single" w:sz="8" w:space="0" w:color="auto"/>
            </w:tcBorders>
            <w:shd w:val="clear" w:color="000000" w:fill="D9D9D9"/>
            <w:noWrap/>
            <w:vAlign w:val="center"/>
            <w:hideMark/>
          </w:tcPr>
          <w:p w14:paraId="37E15C71" w14:textId="14E46679" w:rsidR="002D6124" w:rsidRPr="00023EBD" w:rsidRDefault="002D6124" w:rsidP="002D6124">
            <w:pPr>
              <w:jc w:val="center"/>
              <w:rPr>
                <w:rFonts w:ascii="Calibri" w:hAnsi="Calibri" w:cs="Calibri"/>
                <w:sz w:val="20"/>
                <w:szCs w:val="20"/>
              </w:rPr>
            </w:pPr>
            <w:r w:rsidRPr="008805B8">
              <w:rPr>
                <w:rFonts w:ascii="Calibri" w:hAnsi="Calibri" w:cs="Calibri"/>
                <w:sz w:val="20"/>
              </w:rPr>
              <w:t>9%</w:t>
            </w:r>
          </w:p>
        </w:tc>
        <w:tc>
          <w:tcPr>
            <w:tcW w:w="2250" w:type="dxa"/>
            <w:tcBorders>
              <w:top w:val="nil"/>
              <w:left w:val="nil"/>
              <w:bottom w:val="single" w:sz="8" w:space="0" w:color="auto"/>
              <w:right w:val="single" w:sz="8" w:space="0" w:color="auto"/>
            </w:tcBorders>
            <w:shd w:val="clear" w:color="000000" w:fill="D9D9D9"/>
            <w:noWrap/>
            <w:vAlign w:val="center"/>
            <w:hideMark/>
          </w:tcPr>
          <w:p w14:paraId="5BA436FD" w14:textId="2C9EC7D2" w:rsidR="002D6124" w:rsidRPr="00023EBD" w:rsidRDefault="002D6124" w:rsidP="002D6124">
            <w:pPr>
              <w:jc w:val="center"/>
              <w:rPr>
                <w:rFonts w:ascii="Calibri" w:hAnsi="Calibri" w:cs="Calibri"/>
                <w:sz w:val="20"/>
                <w:szCs w:val="20"/>
              </w:rPr>
            </w:pPr>
            <w:r w:rsidRPr="008805B8">
              <w:rPr>
                <w:rFonts w:ascii="Calibri" w:hAnsi="Calibri" w:cs="Calibri"/>
                <w:sz w:val="20"/>
              </w:rPr>
              <w:t>91%</w:t>
            </w:r>
          </w:p>
        </w:tc>
        <w:tc>
          <w:tcPr>
            <w:tcW w:w="720" w:type="dxa"/>
            <w:tcBorders>
              <w:top w:val="nil"/>
              <w:left w:val="nil"/>
              <w:bottom w:val="single" w:sz="8" w:space="0" w:color="auto"/>
              <w:right w:val="single" w:sz="8" w:space="0" w:color="auto"/>
            </w:tcBorders>
            <w:shd w:val="clear" w:color="000000" w:fill="D9D9D9"/>
            <w:noWrap/>
            <w:vAlign w:val="center"/>
            <w:hideMark/>
          </w:tcPr>
          <w:p w14:paraId="45DE5CE1" w14:textId="47999BEC" w:rsidR="002D6124" w:rsidRPr="00023EBD" w:rsidRDefault="002D6124" w:rsidP="002D6124">
            <w:pPr>
              <w:jc w:val="center"/>
              <w:rPr>
                <w:sz w:val="20"/>
                <w:szCs w:val="20"/>
              </w:rPr>
            </w:pPr>
            <w:r w:rsidRPr="008805B8">
              <w:rPr>
                <w:sz w:val="20"/>
              </w:rPr>
              <w:t> </w:t>
            </w:r>
          </w:p>
        </w:tc>
      </w:tr>
    </w:tbl>
    <w:p w14:paraId="0F41B98B" w14:textId="6777CAC2" w:rsidR="00712AB2" w:rsidRPr="008A10CB" w:rsidRDefault="00712AB2" w:rsidP="001F7614">
      <w:pPr>
        <w:keepNext/>
        <w:rPr>
          <w:b/>
        </w:rPr>
      </w:pPr>
    </w:p>
    <w:p w14:paraId="034C696F" w14:textId="29148E2C" w:rsidR="001F7614" w:rsidRPr="008A10CB" w:rsidRDefault="001F7614" w:rsidP="006E7D61">
      <w:pPr>
        <w:keepNext/>
        <w:rPr>
          <w:b/>
        </w:rPr>
      </w:pPr>
      <w:r w:rsidRPr="008A10CB">
        <w:rPr>
          <w:b/>
        </w:rPr>
        <w:t xml:space="preserve">Table 2. Summary of Critical Habitat Effects Determinations for </w:t>
      </w:r>
      <w:r w:rsidR="00D013AE" w:rsidRPr="008A10CB">
        <w:rPr>
          <w:b/>
        </w:rPr>
        <w:t xml:space="preserve">Carbaryl </w:t>
      </w:r>
      <w:r w:rsidRPr="008A10CB">
        <w:rPr>
          <w:b/>
        </w:rPr>
        <w:t>(Counts by Taxon).</w:t>
      </w:r>
    </w:p>
    <w:tbl>
      <w:tblPr>
        <w:tblW w:w="8630" w:type="dxa"/>
        <w:tblLook w:val="04A0" w:firstRow="1" w:lastRow="0" w:firstColumn="1" w:lastColumn="0" w:noHBand="0" w:noVBand="1"/>
      </w:tblPr>
      <w:tblGrid>
        <w:gridCol w:w="1790"/>
        <w:gridCol w:w="810"/>
        <w:gridCol w:w="900"/>
        <w:gridCol w:w="2160"/>
        <w:gridCol w:w="2250"/>
        <w:gridCol w:w="720"/>
      </w:tblGrid>
      <w:tr w:rsidR="00712AB2" w:rsidRPr="008A10CB" w14:paraId="24420011" w14:textId="77777777" w:rsidTr="006E7D61">
        <w:trPr>
          <w:trHeight w:val="510"/>
          <w:tblHeader/>
        </w:trPr>
        <w:tc>
          <w:tcPr>
            <w:tcW w:w="179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E75D960"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Taxon</w:t>
            </w:r>
          </w:p>
        </w:tc>
        <w:tc>
          <w:tcPr>
            <w:tcW w:w="1710" w:type="dxa"/>
            <w:gridSpan w:val="2"/>
            <w:tcBorders>
              <w:top w:val="single" w:sz="8" w:space="0" w:color="auto"/>
              <w:left w:val="nil"/>
              <w:bottom w:val="single" w:sz="8" w:space="0" w:color="auto"/>
              <w:right w:val="single" w:sz="8" w:space="0" w:color="000000"/>
            </w:tcBorders>
            <w:shd w:val="clear" w:color="000000" w:fill="E7E6E6"/>
            <w:vAlign w:val="center"/>
            <w:hideMark/>
          </w:tcPr>
          <w:p w14:paraId="1A211EFB"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Step 1 Effects Determinations</w:t>
            </w:r>
          </w:p>
        </w:tc>
        <w:tc>
          <w:tcPr>
            <w:tcW w:w="4410"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03AE3444"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Step 2 Effects Determinations</w:t>
            </w:r>
          </w:p>
        </w:tc>
        <w:tc>
          <w:tcPr>
            <w:tcW w:w="72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4D17C734"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Totals</w:t>
            </w:r>
          </w:p>
        </w:tc>
      </w:tr>
      <w:tr w:rsidR="00712AB2" w:rsidRPr="008A10CB" w14:paraId="682CCE0E" w14:textId="77777777" w:rsidTr="006E7D61">
        <w:trPr>
          <w:trHeight w:val="564"/>
          <w:tblHeader/>
        </w:trPr>
        <w:tc>
          <w:tcPr>
            <w:tcW w:w="1790" w:type="dxa"/>
            <w:vMerge/>
            <w:tcBorders>
              <w:top w:val="single" w:sz="8" w:space="0" w:color="auto"/>
              <w:left w:val="single" w:sz="8" w:space="0" w:color="auto"/>
              <w:bottom w:val="single" w:sz="8" w:space="0" w:color="000000"/>
              <w:right w:val="single" w:sz="8" w:space="0" w:color="auto"/>
            </w:tcBorders>
            <w:vAlign w:val="center"/>
            <w:hideMark/>
          </w:tcPr>
          <w:p w14:paraId="13094E6A" w14:textId="77777777" w:rsidR="00712AB2" w:rsidRPr="008A10CB" w:rsidRDefault="00712AB2" w:rsidP="006E7D61">
            <w:pPr>
              <w:keepNext/>
              <w:rPr>
                <w:rFonts w:ascii="Calibri" w:hAnsi="Calibri" w:cs="Calibri"/>
                <w:b/>
                <w:bCs/>
                <w:sz w:val="20"/>
              </w:rPr>
            </w:pPr>
          </w:p>
        </w:tc>
        <w:tc>
          <w:tcPr>
            <w:tcW w:w="810" w:type="dxa"/>
            <w:tcBorders>
              <w:top w:val="nil"/>
              <w:left w:val="nil"/>
              <w:bottom w:val="single" w:sz="8" w:space="0" w:color="auto"/>
              <w:right w:val="single" w:sz="8" w:space="0" w:color="auto"/>
            </w:tcBorders>
            <w:shd w:val="clear" w:color="000000" w:fill="E7E6E6"/>
            <w:vAlign w:val="center"/>
            <w:hideMark/>
          </w:tcPr>
          <w:p w14:paraId="671201DC"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No Effect</w:t>
            </w:r>
          </w:p>
        </w:tc>
        <w:tc>
          <w:tcPr>
            <w:tcW w:w="900" w:type="dxa"/>
            <w:tcBorders>
              <w:top w:val="nil"/>
              <w:left w:val="nil"/>
              <w:bottom w:val="single" w:sz="8" w:space="0" w:color="auto"/>
              <w:right w:val="single" w:sz="8" w:space="0" w:color="auto"/>
            </w:tcBorders>
            <w:shd w:val="clear" w:color="000000" w:fill="E7E6E6"/>
            <w:vAlign w:val="center"/>
            <w:hideMark/>
          </w:tcPr>
          <w:p w14:paraId="38DE4E75"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May Affect</w:t>
            </w:r>
          </w:p>
        </w:tc>
        <w:tc>
          <w:tcPr>
            <w:tcW w:w="2160" w:type="dxa"/>
            <w:tcBorders>
              <w:top w:val="nil"/>
              <w:left w:val="nil"/>
              <w:bottom w:val="single" w:sz="8" w:space="0" w:color="auto"/>
              <w:right w:val="single" w:sz="8" w:space="0" w:color="auto"/>
            </w:tcBorders>
            <w:shd w:val="clear" w:color="000000" w:fill="E7E6E6"/>
            <w:vAlign w:val="center"/>
            <w:hideMark/>
          </w:tcPr>
          <w:p w14:paraId="4374A9CF"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Not Likely to Adversely Affect</w:t>
            </w:r>
          </w:p>
        </w:tc>
        <w:tc>
          <w:tcPr>
            <w:tcW w:w="2250" w:type="dxa"/>
            <w:tcBorders>
              <w:top w:val="nil"/>
              <w:left w:val="nil"/>
              <w:bottom w:val="single" w:sz="8" w:space="0" w:color="auto"/>
              <w:right w:val="single" w:sz="8" w:space="0" w:color="auto"/>
            </w:tcBorders>
            <w:shd w:val="clear" w:color="000000" w:fill="E7E6E6"/>
            <w:vAlign w:val="center"/>
            <w:hideMark/>
          </w:tcPr>
          <w:p w14:paraId="6DA332BA" w14:textId="77777777" w:rsidR="00712AB2" w:rsidRPr="008A10CB" w:rsidRDefault="00712AB2" w:rsidP="006E7D61">
            <w:pPr>
              <w:keepNext/>
              <w:jc w:val="center"/>
              <w:rPr>
                <w:rFonts w:ascii="Calibri" w:hAnsi="Calibri" w:cs="Calibri"/>
                <w:b/>
                <w:bCs/>
                <w:sz w:val="20"/>
              </w:rPr>
            </w:pPr>
            <w:r w:rsidRPr="008A10CB">
              <w:rPr>
                <w:rFonts w:ascii="Calibri" w:hAnsi="Calibri" w:cs="Calibri"/>
                <w:b/>
                <w:bCs/>
                <w:sz w:val="20"/>
              </w:rPr>
              <w:t>Likely to Adversely Affect</w:t>
            </w:r>
          </w:p>
        </w:tc>
        <w:tc>
          <w:tcPr>
            <w:tcW w:w="720" w:type="dxa"/>
            <w:vMerge/>
            <w:tcBorders>
              <w:top w:val="single" w:sz="8" w:space="0" w:color="auto"/>
              <w:left w:val="single" w:sz="8" w:space="0" w:color="auto"/>
              <w:bottom w:val="single" w:sz="8" w:space="0" w:color="000000"/>
              <w:right w:val="single" w:sz="8" w:space="0" w:color="auto"/>
            </w:tcBorders>
            <w:vAlign w:val="center"/>
            <w:hideMark/>
          </w:tcPr>
          <w:p w14:paraId="28DE032E" w14:textId="77777777" w:rsidR="00712AB2" w:rsidRPr="008A10CB" w:rsidRDefault="00712AB2" w:rsidP="006E7D61">
            <w:pPr>
              <w:keepNext/>
              <w:rPr>
                <w:rFonts w:ascii="Calibri" w:hAnsi="Calibri" w:cs="Calibri"/>
                <w:b/>
                <w:bCs/>
                <w:sz w:val="20"/>
              </w:rPr>
            </w:pPr>
          </w:p>
        </w:tc>
      </w:tr>
      <w:tr w:rsidR="002D6124" w:rsidRPr="008A10CB" w14:paraId="44E4A8A9"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9E9E0D4" w14:textId="6D9049B7" w:rsidR="002D6124" w:rsidRPr="008A10CB" w:rsidRDefault="002D6124" w:rsidP="002D6124">
            <w:pPr>
              <w:keepNext/>
              <w:rPr>
                <w:rFonts w:ascii="Calibri" w:hAnsi="Calibri" w:cs="Calibri"/>
                <w:sz w:val="20"/>
              </w:rPr>
            </w:pPr>
            <w:r w:rsidRPr="00411741">
              <w:rPr>
                <w:rFonts w:ascii="Calibri" w:hAnsi="Calibri" w:cs="Calibri"/>
                <w:sz w:val="20"/>
                <w:szCs w:val="20"/>
              </w:rPr>
              <w:t>Mammals</w:t>
            </w:r>
          </w:p>
        </w:tc>
        <w:tc>
          <w:tcPr>
            <w:tcW w:w="810" w:type="dxa"/>
            <w:tcBorders>
              <w:top w:val="nil"/>
              <w:left w:val="nil"/>
              <w:bottom w:val="single" w:sz="8" w:space="0" w:color="auto"/>
              <w:right w:val="single" w:sz="8" w:space="0" w:color="auto"/>
            </w:tcBorders>
            <w:shd w:val="clear" w:color="auto" w:fill="auto"/>
            <w:vAlign w:val="center"/>
            <w:hideMark/>
          </w:tcPr>
          <w:p w14:paraId="3C62F484" w14:textId="16D8C6DA" w:rsidR="002D6124" w:rsidRPr="008A10CB" w:rsidRDefault="002D6124" w:rsidP="002D6124">
            <w:pPr>
              <w:keepNext/>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3B4B3B14" w14:textId="6AE5F4EE" w:rsidR="002D6124" w:rsidRPr="008A10CB" w:rsidRDefault="002D6124" w:rsidP="002D6124">
            <w:pPr>
              <w:keepNext/>
              <w:jc w:val="center"/>
              <w:rPr>
                <w:rFonts w:ascii="Calibri" w:hAnsi="Calibri" w:cs="Calibri"/>
                <w:sz w:val="20"/>
              </w:rPr>
            </w:pPr>
            <w:r w:rsidRPr="008805B8">
              <w:rPr>
                <w:rFonts w:ascii="Calibri" w:hAnsi="Calibri" w:cs="Calibri"/>
                <w:sz w:val="20"/>
              </w:rPr>
              <w:t>33</w:t>
            </w:r>
          </w:p>
        </w:tc>
        <w:tc>
          <w:tcPr>
            <w:tcW w:w="2160" w:type="dxa"/>
            <w:tcBorders>
              <w:top w:val="nil"/>
              <w:left w:val="nil"/>
              <w:bottom w:val="single" w:sz="8" w:space="0" w:color="auto"/>
              <w:right w:val="single" w:sz="8" w:space="0" w:color="auto"/>
            </w:tcBorders>
            <w:shd w:val="clear" w:color="auto" w:fill="auto"/>
            <w:noWrap/>
            <w:vAlign w:val="center"/>
            <w:hideMark/>
          </w:tcPr>
          <w:p w14:paraId="502640E9" w14:textId="72A439D1" w:rsidR="002D6124" w:rsidRPr="008A10CB" w:rsidRDefault="002D6124" w:rsidP="002D6124">
            <w:pPr>
              <w:keepNext/>
              <w:jc w:val="center"/>
              <w:rPr>
                <w:rFonts w:ascii="Calibri" w:hAnsi="Calibri" w:cs="Calibri"/>
              </w:rPr>
            </w:pPr>
            <w:r w:rsidRPr="008805B8">
              <w:rPr>
                <w:rFonts w:ascii="Calibri" w:hAnsi="Calibri" w:cs="Calibri"/>
                <w:sz w:val="20"/>
              </w:rPr>
              <w:t>6</w:t>
            </w:r>
          </w:p>
        </w:tc>
        <w:tc>
          <w:tcPr>
            <w:tcW w:w="2250" w:type="dxa"/>
            <w:tcBorders>
              <w:top w:val="nil"/>
              <w:left w:val="nil"/>
              <w:bottom w:val="single" w:sz="8" w:space="0" w:color="auto"/>
              <w:right w:val="single" w:sz="8" w:space="0" w:color="auto"/>
            </w:tcBorders>
            <w:shd w:val="clear" w:color="auto" w:fill="auto"/>
            <w:noWrap/>
            <w:vAlign w:val="center"/>
            <w:hideMark/>
          </w:tcPr>
          <w:p w14:paraId="669511E5" w14:textId="52B718D7" w:rsidR="002D6124" w:rsidRPr="008A10CB" w:rsidRDefault="002D6124" w:rsidP="002D6124">
            <w:pPr>
              <w:keepNext/>
              <w:jc w:val="center"/>
              <w:rPr>
                <w:rFonts w:ascii="Calibri" w:hAnsi="Calibri" w:cs="Calibri"/>
              </w:rPr>
            </w:pPr>
            <w:r w:rsidRPr="008805B8">
              <w:rPr>
                <w:rFonts w:ascii="Calibri" w:hAnsi="Calibri" w:cs="Calibri"/>
                <w:sz w:val="20"/>
              </w:rPr>
              <w:t>27</w:t>
            </w:r>
          </w:p>
        </w:tc>
        <w:tc>
          <w:tcPr>
            <w:tcW w:w="720" w:type="dxa"/>
            <w:tcBorders>
              <w:top w:val="nil"/>
              <w:left w:val="nil"/>
              <w:bottom w:val="single" w:sz="8" w:space="0" w:color="auto"/>
              <w:right w:val="single" w:sz="8" w:space="0" w:color="auto"/>
            </w:tcBorders>
            <w:shd w:val="clear" w:color="auto" w:fill="auto"/>
            <w:noWrap/>
            <w:vAlign w:val="center"/>
            <w:hideMark/>
          </w:tcPr>
          <w:p w14:paraId="7FDC6391" w14:textId="33142921" w:rsidR="002D6124" w:rsidRPr="008A10CB" w:rsidRDefault="002D6124" w:rsidP="002D6124">
            <w:pPr>
              <w:keepNext/>
              <w:jc w:val="center"/>
              <w:rPr>
                <w:rFonts w:ascii="Calibri" w:hAnsi="Calibri" w:cs="Calibri"/>
              </w:rPr>
            </w:pPr>
            <w:r w:rsidRPr="008805B8">
              <w:rPr>
                <w:rFonts w:ascii="Calibri" w:hAnsi="Calibri" w:cs="Calibri"/>
                <w:sz w:val="20"/>
              </w:rPr>
              <w:t>33</w:t>
            </w:r>
          </w:p>
        </w:tc>
      </w:tr>
      <w:tr w:rsidR="002D6124" w:rsidRPr="008A10CB" w14:paraId="7C91FE30"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13274652" w14:textId="02A0FCE9" w:rsidR="002D6124" w:rsidRPr="008A10CB" w:rsidRDefault="002D6124" w:rsidP="002D6124">
            <w:pPr>
              <w:rPr>
                <w:rFonts w:ascii="Calibri" w:hAnsi="Calibri" w:cs="Calibri"/>
                <w:sz w:val="20"/>
              </w:rPr>
            </w:pPr>
            <w:r w:rsidRPr="00411741">
              <w:rPr>
                <w:rFonts w:ascii="Calibri" w:hAnsi="Calibri" w:cs="Calibri"/>
                <w:sz w:val="20"/>
                <w:szCs w:val="20"/>
              </w:rPr>
              <w:t>Birds</w:t>
            </w:r>
          </w:p>
        </w:tc>
        <w:tc>
          <w:tcPr>
            <w:tcW w:w="810" w:type="dxa"/>
            <w:tcBorders>
              <w:top w:val="nil"/>
              <w:left w:val="nil"/>
              <w:bottom w:val="single" w:sz="8" w:space="0" w:color="auto"/>
              <w:right w:val="single" w:sz="8" w:space="0" w:color="auto"/>
            </w:tcBorders>
            <w:shd w:val="clear" w:color="auto" w:fill="auto"/>
            <w:vAlign w:val="center"/>
            <w:hideMark/>
          </w:tcPr>
          <w:p w14:paraId="64C172FB" w14:textId="25EA88B4" w:rsidR="002D6124" w:rsidRPr="008A10CB" w:rsidRDefault="002D6124" w:rsidP="002D6124">
            <w:pPr>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6C64F40D" w14:textId="410DEA6A" w:rsidR="002D6124" w:rsidRPr="008A10CB" w:rsidRDefault="002D6124" w:rsidP="002D6124">
            <w:pPr>
              <w:jc w:val="center"/>
              <w:rPr>
                <w:rFonts w:ascii="Calibri" w:hAnsi="Calibri" w:cs="Calibri"/>
                <w:sz w:val="20"/>
              </w:rPr>
            </w:pPr>
            <w:r w:rsidRPr="008805B8">
              <w:rPr>
                <w:rFonts w:ascii="Calibri" w:hAnsi="Calibri" w:cs="Calibri"/>
                <w:sz w:val="20"/>
              </w:rPr>
              <w:t>31</w:t>
            </w:r>
          </w:p>
        </w:tc>
        <w:tc>
          <w:tcPr>
            <w:tcW w:w="2160" w:type="dxa"/>
            <w:tcBorders>
              <w:top w:val="nil"/>
              <w:left w:val="nil"/>
              <w:bottom w:val="single" w:sz="8" w:space="0" w:color="auto"/>
              <w:right w:val="single" w:sz="8" w:space="0" w:color="auto"/>
            </w:tcBorders>
            <w:shd w:val="clear" w:color="auto" w:fill="auto"/>
            <w:noWrap/>
            <w:vAlign w:val="center"/>
            <w:hideMark/>
          </w:tcPr>
          <w:p w14:paraId="77F39400" w14:textId="26D69CE1" w:rsidR="002D6124" w:rsidRPr="008A10CB" w:rsidRDefault="002D6124" w:rsidP="002D6124">
            <w:pPr>
              <w:jc w:val="center"/>
              <w:rPr>
                <w:rFonts w:ascii="Calibri" w:hAnsi="Calibri" w:cs="Calibri"/>
              </w:rPr>
            </w:pPr>
            <w:r w:rsidRPr="008805B8">
              <w:rPr>
                <w:rFonts w:ascii="Calibri" w:hAnsi="Calibri" w:cs="Calibri"/>
                <w:sz w:val="20"/>
              </w:rPr>
              <w:t>1</w:t>
            </w:r>
          </w:p>
        </w:tc>
        <w:tc>
          <w:tcPr>
            <w:tcW w:w="2250" w:type="dxa"/>
            <w:tcBorders>
              <w:top w:val="nil"/>
              <w:left w:val="nil"/>
              <w:bottom w:val="single" w:sz="8" w:space="0" w:color="auto"/>
              <w:right w:val="single" w:sz="8" w:space="0" w:color="auto"/>
            </w:tcBorders>
            <w:shd w:val="clear" w:color="auto" w:fill="auto"/>
            <w:noWrap/>
            <w:vAlign w:val="center"/>
            <w:hideMark/>
          </w:tcPr>
          <w:p w14:paraId="5681B8D0" w14:textId="34777405" w:rsidR="002D6124" w:rsidRPr="008A10CB" w:rsidRDefault="002D6124" w:rsidP="002D6124">
            <w:pPr>
              <w:jc w:val="center"/>
              <w:rPr>
                <w:rFonts w:ascii="Calibri" w:hAnsi="Calibri" w:cs="Calibri"/>
              </w:rPr>
            </w:pPr>
            <w:r w:rsidRPr="008805B8">
              <w:rPr>
                <w:rFonts w:ascii="Calibri" w:hAnsi="Calibri" w:cs="Calibri"/>
                <w:sz w:val="20"/>
              </w:rPr>
              <w:t>30</w:t>
            </w:r>
          </w:p>
        </w:tc>
        <w:tc>
          <w:tcPr>
            <w:tcW w:w="720" w:type="dxa"/>
            <w:tcBorders>
              <w:top w:val="nil"/>
              <w:left w:val="nil"/>
              <w:bottom w:val="single" w:sz="8" w:space="0" w:color="auto"/>
              <w:right w:val="single" w:sz="8" w:space="0" w:color="auto"/>
            </w:tcBorders>
            <w:shd w:val="clear" w:color="auto" w:fill="auto"/>
            <w:noWrap/>
            <w:vAlign w:val="center"/>
            <w:hideMark/>
          </w:tcPr>
          <w:p w14:paraId="499BE44B" w14:textId="63517B28" w:rsidR="002D6124" w:rsidRPr="008A10CB" w:rsidRDefault="002D6124" w:rsidP="002D6124">
            <w:pPr>
              <w:jc w:val="center"/>
              <w:rPr>
                <w:rFonts w:ascii="Calibri" w:hAnsi="Calibri" w:cs="Calibri"/>
              </w:rPr>
            </w:pPr>
            <w:r w:rsidRPr="008805B8">
              <w:rPr>
                <w:rFonts w:ascii="Calibri" w:hAnsi="Calibri" w:cs="Calibri"/>
                <w:sz w:val="20"/>
              </w:rPr>
              <w:t>31</w:t>
            </w:r>
          </w:p>
        </w:tc>
      </w:tr>
      <w:tr w:rsidR="002D6124" w:rsidRPr="008A10CB" w14:paraId="3777C282"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7D17BB1" w14:textId="5F0C876E" w:rsidR="002D6124" w:rsidRPr="008A10CB" w:rsidRDefault="002D6124" w:rsidP="002D6124">
            <w:pPr>
              <w:rPr>
                <w:rFonts w:ascii="Calibri" w:hAnsi="Calibri" w:cs="Calibri"/>
                <w:sz w:val="20"/>
              </w:rPr>
            </w:pPr>
            <w:r w:rsidRPr="00411741">
              <w:rPr>
                <w:rFonts w:ascii="Calibri" w:hAnsi="Calibri" w:cs="Calibri"/>
                <w:sz w:val="20"/>
                <w:szCs w:val="20"/>
              </w:rPr>
              <w:t>Amphibians</w:t>
            </w:r>
          </w:p>
        </w:tc>
        <w:tc>
          <w:tcPr>
            <w:tcW w:w="810" w:type="dxa"/>
            <w:tcBorders>
              <w:top w:val="nil"/>
              <w:left w:val="nil"/>
              <w:bottom w:val="single" w:sz="8" w:space="0" w:color="auto"/>
              <w:right w:val="single" w:sz="8" w:space="0" w:color="auto"/>
            </w:tcBorders>
            <w:shd w:val="clear" w:color="auto" w:fill="auto"/>
            <w:vAlign w:val="center"/>
            <w:hideMark/>
          </w:tcPr>
          <w:p w14:paraId="0A82D958" w14:textId="2810938D" w:rsidR="002D6124" w:rsidRPr="008A10CB" w:rsidRDefault="002D6124" w:rsidP="002D6124">
            <w:pPr>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58D8C69B" w14:textId="5EA44376" w:rsidR="002D6124" w:rsidRPr="008A10CB" w:rsidRDefault="002D6124" w:rsidP="002D6124">
            <w:pPr>
              <w:jc w:val="center"/>
              <w:rPr>
                <w:rFonts w:ascii="Calibri" w:hAnsi="Calibri" w:cs="Calibri"/>
                <w:sz w:val="20"/>
              </w:rPr>
            </w:pPr>
            <w:r w:rsidRPr="008805B8">
              <w:rPr>
                <w:rFonts w:ascii="Calibri" w:hAnsi="Calibri" w:cs="Calibri"/>
                <w:sz w:val="20"/>
              </w:rPr>
              <w:t>25</w:t>
            </w:r>
          </w:p>
        </w:tc>
        <w:tc>
          <w:tcPr>
            <w:tcW w:w="2160" w:type="dxa"/>
            <w:tcBorders>
              <w:top w:val="nil"/>
              <w:left w:val="nil"/>
              <w:bottom w:val="single" w:sz="8" w:space="0" w:color="auto"/>
              <w:right w:val="single" w:sz="8" w:space="0" w:color="auto"/>
            </w:tcBorders>
            <w:shd w:val="clear" w:color="auto" w:fill="auto"/>
            <w:noWrap/>
            <w:vAlign w:val="center"/>
            <w:hideMark/>
          </w:tcPr>
          <w:p w14:paraId="0F4806A6" w14:textId="0E6919BB" w:rsidR="002D6124" w:rsidRPr="008A10CB" w:rsidRDefault="002D6124" w:rsidP="002D6124">
            <w:pPr>
              <w:jc w:val="center"/>
              <w:rPr>
                <w:rFonts w:ascii="Calibri" w:hAnsi="Calibri" w:cs="Calibri"/>
              </w:rPr>
            </w:pPr>
            <w:r w:rsidRPr="008805B8">
              <w:rPr>
                <w:rFonts w:ascii="Calibri" w:hAnsi="Calibri" w:cs="Calibri"/>
                <w:sz w:val="20"/>
              </w:rPr>
              <w:t>0</w:t>
            </w:r>
          </w:p>
        </w:tc>
        <w:tc>
          <w:tcPr>
            <w:tcW w:w="2250" w:type="dxa"/>
            <w:tcBorders>
              <w:top w:val="nil"/>
              <w:left w:val="nil"/>
              <w:bottom w:val="single" w:sz="8" w:space="0" w:color="auto"/>
              <w:right w:val="single" w:sz="8" w:space="0" w:color="auto"/>
            </w:tcBorders>
            <w:shd w:val="clear" w:color="auto" w:fill="auto"/>
            <w:noWrap/>
            <w:vAlign w:val="center"/>
            <w:hideMark/>
          </w:tcPr>
          <w:p w14:paraId="5933B5B7" w14:textId="159929D3" w:rsidR="002D6124" w:rsidRPr="008A10CB" w:rsidRDefault="002D6124" w:rsidP="002D6124">
            <w:pPr>
              <w:jc w:val="center"/>
              <w:rPr>
                <w:rFonts w:ascii="Calibri" w:hAnsi="Calibri" w:cs="Calibri"/>
              </w:rPr>
            </w:pPr>
            <w:r w:rsidRPr="008805B8">
              <w:rPr>
                <w:rFonts w:ascii="Calibri" w:hAnsi="Calibri" w:cs="Calibri"/>
                <w:sz w:val="20"/>
              </w:rPr>
              <w:t>25</w:t>
            </w:r>
          </w:p>
        </w:tc>
        <w:tc>
          <w:tcPr>
            <w:tcW w:w="720" w:type="dxa"/>
            <w:tcBorders>
              <w:top w:val="nil"/>
              <w:left w:val="nil"/>
              <w:bottom w:val="single" w:sz="8" w:space="0" w:color="auto"/>
              <w:right w:val="single" w:sz="8" w:space="0" w:color="auto"/>
            </w:tcBorders>
            <w:shd w:val="clear" w:color="auto" w:fill="auto"/>
            <w:noWrap/>
            <w:vAlign w:val="center"/>
            <w:hideMark/>
          </w:tcPr>
          <w:p w14:paraId="2FCF1C27" w14:textId="30282447" w:rsidR="002D6124" w:rsidRPr="008A10CB" w:rsidRDefault="002D6124" w:rsidP="002D6124">
            <w:pPr>
              <w:jc w:val="center"/>
              <w:rPr>
                <w:rFonts w:ascii="Calibri" w:hAnsi="Calibri" w:cs="Calibri"/>
              </w:rPr>
            </w:pPr>
            <w:r w:rsidRPr="008805B8">
              <w:rPr>
                <w:rFonts w:ascii="Calibri" w:hAnsi="Calibri" w:cs="Calibri"/>
                <w:sz w:val="20"/>
              </w:rPr>
              <w:t>25</w:t>
            </w:r>
          </w:p>
        </w:tc>
      </w:tr>
      <w:tr w:rsidR="002D6124" w:rsidRPr="008A10CB" w14:paraId="1F1B6AFF"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086DD3DD" w14:textId="34DB7FD4" w:rsidR="002D6124" w:rsidRPr="008A10CB" w:rsidRDefault="002D6124" w:rsidP="002D6124">
            <w:pPr>
              <w:rPr>
                <w:rFonts w:ascii="Calibri" w:hAnsi="Calibri" w:cs="Calibri"/>
                <w:sz w:val="20"/>
              </w:rPr>
            </w:pPr>
            <w:r w:rsidRPr="00411741">
              <w:rPr>
                <w:rFonts w:ascii="Calibri" w:hAnsi="Calibri" w:cs="Calibri"/>
                <w:sz w:val="20"/>
                <w:szCs w:val="20"/>
              </w:rPr>
              <w:t>Reptiles</w:t>
            </w:r>
          </w:p>
        </w:tc>
        <w:tc>
          <w:tcPr>
            <w:tcW w:w="810" w:type="dxa"/>
            <w:tcBorders>
              <w:top w:val="nil"/>
              <w:left w:val="nil"/>
              <w:bottom w:val="single" w:sz="8" w:space="0" w:color="auto"/>
              <w:right w:val="single" w:sz="8" w:space="0" w:color="auto"/>
            </w:tcBorders>
            <w:shd w:val="clear" w:color="auto" w:fill="auto"/>
            <w:vAlign w:val="center"/>
            <w:hideMark/>
          </w:tcPr>
          <w:p w14:paraId="78658891" w14:textId="3DC1009C" w:rsidR="002D6124" w:rsidRPr="008A10CB" w:rsidRDefault="002D6124" w:rsidP="002D6124">
            <w:pPr>
              <w:jc w:val="center"/>
              <w:rPr>
                <w:rFonts w:ascii="Calibri" w:hAnsi="Calibri" w:cs="Calibri"/>
              </w:rPr>
            </w:pPr>
            <w:r w:rsidRPr="008805B8">
              <w:rPr>
                <w:rFonts w:ascii="Calibri" w:hAnsi="Calibri" w:cs="Calibri"/>
                <w:sz w:val="20"/>
              </w:rPr>
              <w:t>2</w:t>
            </w:r>
          </w:p>
        </w:tc>
        <w:tc>
          <w:tcPr>
            <w:tcW w:w="900" w:type="dxa"/>
            <w:tcBorders>
              <w:top w:val="nil"/>
              <w:left w:val="nil"/>
              <w:bottom w:val="single" w:sz="8" w:space="0" w:color="auto"/>
              <w:right w:val="single" w:sz="8" w:space="0" w:color="auto"/>
            </w:tcBorders>
            <w:shd w:val="clear" w:color="auto" w:fill="auto"/>
            <w:vAlign w:val="center"/>
            <w:hideMark/>
          </w:tcPr>
          <w:p w14:paraId="6A352739" w14:textId="50E48B78" w:rsidR="002D6124" w:rsidRPr="008A10CB" w:rsidRDefault="002D6124" w:rsidP="002D6124">
            <w:pPr>
              <w:jc w:val="center"/>
              <w:rPr>
                <w:rFonts w:ascii="Calibri" w:hAnsi="Calibri" w:cs="Calibri"/>
                <w:sz w:val="20"/>
              </w:rPr>
            </w:pPr>
            <w:r w:rsidRPr="008805B8">
              <w:rPr>
                <w:rFonts w:ascii="Calibri" w:hAnsi="Calibri" w:cs="Calibri"/>
                <w:sz w:val="20"/>
              </w:rPr>
              <w:t>14</w:t>
            </w:r>
          </w:p>
        </w:tc>
        <w:tc>
          <w:tcPr>
            <w:tcW w:w="2160" w:type="dxa"/>
            <w:tcBorders>
              <w:top w:val="nil"/>
              <w:left w:val="nil"/>
              <w:bottom w:val="single" w:sz="8" w:space="0" w:color="auto"/>
              <w:right w:val="single" w:sz="8" w:space="0" w:color="auto"/>
            </w:tcBorders>
            <w:shd w:val="clear" w:color="auto" w:fill="auto"/>
            <w:noWrap/>
            <w:vAlign w:val="center"/>
            <w:hideMark/>
          </w:tcPr>
          <w:p w14:paraId="142E9BFD" w14:textId="7CD3AE6C" w:rsidR="002D6124" w:rsidRPr="008A10CB" w:rsidRDefault="002D6124" w:rsidP="002D6124">
            <w:pPr>
              <w:jc w:val="center"/>
              <w:rPr>
                <w:rFonts w:ascii="Calibri" w:hAnsi="Calibri" w:cs="Calibri"/>
              </w:rPr>
            </w:pPr>
            <w:r w:rsidRPr="008805B8">
              <w:rPr>
                <w:rFonts w:ascii="Calibri" w:hAnsi="Calibri" w:cs="Calibri"/>
                <w:sz w:val="20"/>
              </w:rPr>
              <w:t>6</w:t>
            </w:r>
          </w:p>
        </w:tc>
        <w:tc>
          <w:tcPr>
            <w:tcW w:w="2250" w:type="dxa"/>
            <w:tcBorders>
              <w:top w:val="nil"/>
              <w:left w:val="nil"/>
              <w:bottom w:val="single" w:sz="8" w:space="0" w:color="auto"/>
              <w:right w:val="single" w:sz="8" w:space="0" w:color="auto"/>
            </w:tcBorders>
            <w:shd w:val="clear" w:color="auto" w:fill="auto"/>
            <w:noWrap/>
            <w:vAlign w:val="center"/>
            <w:hideMark/>
          </w:tcPr>
          <w:p w14:paraId="5B22EA10" w14:textId="6594C8D9" w:rsidR="002D6124" w:rsidRPr="008A10CB" w:rsidRDefault="002D6124" w:rsidP="002D6124">
            <w:pPr>
              <w:jc w:val="center"/>
              <w:rPr>
                <w:rFonts w:ascii="Calibri" w:hAnsi="Calibri" w:cs="Calibri"/>
              </w:rPr>
            </w:pPr>
            <w:r w:rsidRPr="008805B8">
              <w:rPr>
                <w:rFonts w:ascii="Calibri" w:hAnsi="Calibri" w:cs="Calibri"/>
                <w:sz w:val="20"/>
              </w:rPr>
              <w:t>8</w:t>
            </w:r>
          </w:p>
        </w:tc>
        <w:tc>
          <w:tcPr>
            <w:tcW w:w="720" w:type="dxa"/>
            <w:tcBorders>
              <w:top w:val="nil"/>
              <w:left w:val="nil"/>
              <w:bottom w:val="single" w:sz="8" w:space="0" w:color="auto"/>
              <w:right w:val="single" w:sz="8" w:space="0" w:color="auto"/>
            </w:tcBorders>
            <w:shd w:val="clear" w:color="auto" w:fill="auto"/>
            <w:noWrap/>
            <w:vAlign w:val="center"/>
            <w:hideMark/>
          </w:tcPr>
          <w:p w14:paraId="657A47A5" w14:textId="082E64BD" w:rsidR="002D6124" w:rsidRPr="008A10CB" w:rsidRDefault="002D6124" w:rsidP="002D6124">
            <w:pPr>
              <w:jc w:val="center"/>
              <w:rPr>
                <w:rFonts w:ascii="Calibri" w:hAnsi="Calibri" w:cs="Calibri"/>
              </w:rPr>
            </w:pPr>
            <w:r w:rsidRPr="008805B8">
              <w:rPr>
                <w:rFonts w:ascii="Calibri" w:hAnsi="Calibri" w:cs="Calibri"/>
                <w:sz w:val="20"/>
              </w:rPr>
              <w:t>16</w:t>
            </w:r>
          </w:p>
        </w:tc>
      </w:tr>
      <w:tr w:rsidR="002D6124" w:rsidRPr="008A10CB" w14:paraId="6CF69A0F"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79E47B3F" w14:textId="01F9599D" w:rsidR="002D6124" w:rsidRPr="008A10CB" w:rsidRDefault="002D6124" w:rsidP="002D6124">
            <w:pPr>
              <w:rPr>
                <w:rFonts w:ascii="Calibri" w:hAnsi="Calibri" w:cs="Calibri"/>
                <w:sz w:val="20"/>
              </w:rPr>
            </w:pPr>
            <w:r w:rsidRPr="00411741">
              <w:rPr>
                <w:rFonts w:ascii="Calibri" w:hAnsi="Calibri" w:cs="Calibri"/>
                <w:sz w:val="20"/>
                <w:szCs w:val="20"/>
              </w:rPr>
              <w:t>Fish</w:t>
            </w:r>
          </w:p>
        </w:tc>
        <w:tc>
          <w:tcPr>
            <w:tcW w:w="810" w:type="dxa"/>
            <w:tcBorders>
              <w:top w:val="nil"/>
              <w:left w:val="nil"/>
              <w:bottom w:val="single" w:sz="8" w:space="0" w:color="auto"/>
              <w:right w:val="single" w:sz="8" w:space="0" w:color="auto"/>
            </w:tcBorders>
            <w:shd w:val="clear" w:color="auto" w:fill="auto"/>
            <w:vAlign w:val="center"/>
            <w:hideMark/>
          </w:tcPr>
          <w:p w14:paraId="4D590C15" w14:textId="57012F30" w:rsidR="002D6124" w:rsidRPr="008A10CB" w:rsidRDefault="002D6124" w:rsidP="002D6124">
            <w:pPr>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6C31668E" w14:textId="2F3A3215" w:rsidR="002D6124" w:rsidRPr="008A10CB" w:rsidRDefault="002D6124" w:rsidP="002D6124">
            <w:pPr>
              <w:jc w:val="center"/>
              <w:rPr>
                <w:rFonts w:ascii="Calibri" w:hAnsi="Calibri" w:cs="Calibri"/>
                <w:sz w:val="20"/>
              </w:rPr>
            </w:pPr>
            <w:r w:rsidRPr="008805B8">
              <w:rPr>
                <w:rFonts w:ascii="Calibri" w:hAnsi="Calibri" w:cs="Calibri"/>
                <w:sz w:val="20"/>
              </w:rPr>
              <w:t>106</w:t>
            </w:r>
          </w:p>
        </w:tc>
        <w:tc>
          <w:tcPr>
            <w:tcW w:w="2160" w:type="dxa"/>
            <w:tcBorders>
              <w:top w:val="nil"/>
              <w:left w:val="nil"/>
              <w:bottom w:val="single" w:sz="8" w:space="0" w:color="auto"/>
              <w:right w:val="single" w:sz="8" w:space="0" w:color="auto"/>
            </w:tcBorders>
            <w:shd w:val="clear" w:color="auto" w:fill="auto"/>
            <w:noWrap/>
            <w:vAlign w:val="center"/>
            <w:hideMark/>
          </w:tcPr>
          <w:p w14:paraId="3E384920" w14:textId="272A8BE0" w:rsidR="002D6124" w:rsidRPr="008A10CB" w:rsidRDefault="002D6124" w:rsidP="002D6124">
            <w:pPr>
              <w:jc w:val="center"/>
              <w:rPr>
                <w:rFonts w:ascii="Calibri" w:hAnsi="Calibri" w:cs="Calibri"/>
              </w:rPr>
            </w:pPr>
            <w:r w:rsidRPr="008805B8">
              <w:rPr>
                <w:rFonts w:ascii="Calibri" w:hAnsi="Calibri" w:cs="Calibri"/>
                <w:sz w:val="20"/>
              </w:rPr>
              <w:t>2</w:t>
            </w:r>
          </w:p>
        </w:tc>
        <w:tc>
          <w:tcPr>
            <w:tcW w:w="2250" w:type="dxa"/>
            <w:tcBorders>
              <w:top w:val="nil"/>
              <w:left w:val="nil"/>
              <w:bottom w:val="single" w:sz="8" w:space="0" w:color="auto"/>
              <w:right w:val="single" w:sz="8" w:space="0" w:color="auto"/>
            </w:tcBorders>
            <w:shd w:val="clear" w:color="auto" w:fill="auto"/>
            <w:noWrap/>
            <w:vAlign w:val="center"/>
            <w:hideMark/>
          </w:tcPr>
          <w:p w14:paraId="105A2E10" w14:textId="3895C2CC" w:rsidR="002D6124" w:rsidRPr="008A10CB" w:rsidRDefault="002D6124" w:rsidP="002D6124">
            <w:pPr>
              <w:jc w:val="center"/>
              <w:rPr>
                <w:rFonts w:ascii="Calibri" w:hAnsi="Calibri" w:cs="Calibri"/>
              </w:rPr>
            </w:pPr>
            <w:r w:rsidRPr="008805B8">
              <w:rPr>
                <w:rFonts w:ascii="Calibri" w:hAnsi="Calibri" w:cs="Calibri"/>
                <w:sz w:val="20"/>
              </w:rPr>
              <w:t>104</w:t>
            </w:r>
          </w:p>
        </w:tc>
        <w:tc>
          <w:tcPr>
            <w:tcW w:w="720" w:type="dxa"/>
            <w:tcBorders>
              <w:top w:val="nil"/>
              <w:left w:val="nil"/>
              <w:bottom w:val="single" w:sz="8" w:space="0" w:color="auto"/>
              <w:right w:val="single" w:sz="8" w:space="0" w:color="auto"/>
            </w:tcBorders>
            <w:shd w:val="clear" w:color="auto" w:fill="auto"/>
            <w:noWrap/>
            <w:vAlign w:val="center"/>
            <w:hideMark/>
          </w:tcPr>
          <w:p w14:paraId="6EA5E2B1" w14:textId="268EB9A0" w:rsidR="002D6124" w:rsidRPr="008A10CB" w:rsidRDefault="002D6124" w:rsidP="002D6124">
            <w:pPr>
              <w:jc w:val="center"/>
              <w:rPr>
                <w:rFonts w:ascii="Calibri" w:hAnsi="Calibri" w:cs="Calibri"/>
              </w:rPr>
            </w:pPr>
            <w:r w:rsidRPr="008805B8">
              <w:rPr>
                <w:rFonts w:ascii="Calibri" w:hAnsi="Calibri" w:cs="Calibri"/>
                <w:sz w:val="20"/>
              </w:rPr>
              <w:t>106</w:t>
            </w:r>
          </w:p>
        </w:tc>
      </w:tr>
      <w:tr w:rsidR="002D6124" w:rsidRPr="008A10CB" w14:paraId="5B6FD27A"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4B8111BB" w14:textId="0A394494" w:rsidR="002D6124" w:rsidRPr="008A10CB" w:rsidRDefault="002D6124" w:rsidP="002D6124">
            <w:pPr>
              <w:rPr>
                <w:rFonts w:ascii="Calibri" w:hAnsi="Calibri" w:cs="Calibri"/>
                <w:sz w:val="20"/>
              </w:rPr>
            </w:pPr>
            <w:r w:rsidRPr="00411741">
              <w:rPr>
                <w:rFonts w:ascii="Calibri" w:hAnsi="Calibri" w:cs="Calibri"/>
                <w:sz w:val="20"/>
                <w:szCs w:val="20"/>
              </w:rPr>
              <w:t>Plants</w:t>
            </w:r>
          </w:p>
        </w:tc>
        <w:tc>
          <w:tcPr>
            <w:tcW w:w="810" w:type="dxa"/>
            <w:tcBorders>
              <w:top w:val="nil"/>
              <w:left w:val="nil"/>
              <w:bottom w:val="single" w:sz="8" w:space="0" w:color="auto"/>
              <w:right w:val="single" w:sz="8" w:space="0" w:color="auto"/>
            </w:tcBorders>
            <w:shd w:val="clear" w:color="auto" w:fill="auto"/>
            <w:vAlign w:val="center"/>
            <w:hideMark/>
          </w:tcPr>
          <w:p w14:paraId="31921C82" w14:textId="17BFDD7A" w:rsidR="002D6124" w:rsidRPr="008A10CB" w:rsidRDefault="002D6124" w:rsidP="002D6124">
            <w:pPr>
              <w:jc w:val="center"/>
              <w:rPr>
                <w:rFonts w:ascii="Calibri" w:hAnsi="Calibri" w:cs="Calibri"/>
              </w:rPr>
            </w:pPr>
            <w:r w:rsidRPr="008805B8">
              <w:rPr>
                <w:rFonts w:ascii="Calibri" w:hAnsi="Calibri" w:cs="Calibri"/>
                <w:sz w:val="20"/>
              </w:rPr>
              <w:t>1</w:t>
            </w:r>
          </w:p>
        </w:tc>
        <w:tc>
          <w:tcPr>
            <w:tcW w:w="900" w:type="dxa"/>
            <w:tcBorders>
              <w:top w:val="nil"/>
              <w:left w:val="nil"/>
              <w:bottom w:val="single" w:sz="8" w:space="0" w:color="auto"/>
              <w:right w:val="single" w:sz="8" w:space="0" w:color="auto"/>
            </w:tcBorders>
            <w:shd w:val="clear" w:color="auto" w:fill="auto"/>
            <w:vAlign w:val="center"/>
            <w:hideMark/>
          </w:tcPr>
          <w:p w14:paraId="4D5C7E71" w14:textId="4119AE23" w:rsidR="002D6124" w:rsidRPr="008A10CB" w:rsidRDefault="002D6124" w:rsidP="002D6124">
            <w:pPr>
              <w:jc w:val="center"/>
              <w:rPr>
                <w:rFonts w:ascii="Calibri" w:hAnsi="Calibri" w:cs="Calibri"/>
                <w:sz w:val="20"/>
              </w:rPr>
            </w:pPr>
            <w:r w:rsidRPr="008805B8">
              <w:rPr>
                <w:rFonts w:ascii="Calibri" w:hAnsi="Calibri" w:cs="Calibri"/>
                <w:sz w:val="20"/>
              </w:rPr>
              <w:t>459</w:t>
            </w:r>
          </w:p>
        </w:tc>
        <w:tc>
          <w:tcPr>
            <w:tcW w:w="2160" w:type="dxa"/>
            <w:tcBorders>
              <w:top w:val="nil"/>
              <w:left w:val="nil"/>
              <w:bottom w:val="single" w:sz="8" w:space="0" w:color="auto"/>
              <w:right w:val="single" w:sz="8" w:space="0" w:color="auto"/>
            </w:tcBorders>
            <w:shd w:val="clear" w:color="auto" w:fill="auto"/>
            <w:noWrap/>
            <w:vAlign w:val="center"/>
            <w:hideMark/>
          </w:tcPr>
          <w:p w14:paraId="706B9F5F" w14:textId="072ED4E1" w:rsidR="002D6124" w:rsidRPr="008A10CB" w:rsidRDefault="002D6124" w:rsidP="002D6124">
            <w:pPr>
              <w:jc w:val="center"/>
              <w:rPr>
                <w:rFonts w:ascii="Calibri" w:hAnsi="Calibri" w:cs="Calibri"/>
              </w:rPr>
            </w:pPr>
            <w:r w:rsidRPr="008805B8">
              <w:rPr>
                <w:rFonts w:ascii="Calibri" w:hAnsi="Calibri" w:cs="Calibri"/>
                <w:sz w:val="20"/>
              </w:rPr>
              <w:t>20</w:t>
            </w:r>
          </w:p>
        </w:tc>
        <w:tc>
          <w:tcPr>
            <w:tcW w:w="2250" w:type="dxa"/>
            <w:tcBorders>
              <w:top w:val="nil"/>
              <w:left w:val="nil"/>
              <w:bottom w:val="single" w:sz="8" w:space="0" w:color="auto"/>
              <w:right w:val="single" w:sz="8" w:space="0" w:color="auto"/>
            </w:tcBorders>
            <w:shd w:val="clear" w:color="auto" w:fill="auto"/>
            <w:noWrap/>
            <w:vAlign w:val="center"/>
            <w:hideMark/>
          </w:tcPr>
          <w:p w14:paraId="6BCDF60C" w14:textId="41899DBD" w:rsidR="002D6124" w:rsidRPr="008A10CB" w:rsidRDefault="002D6124" w:rsidP="002D6124">
            <w:pPr>
              <w:jc w:val="center"/>
              <w:rPr>
                <w:rFonts w:ascii="Calibri" w:hAnsi="Calibri" w:cs="Calibri"/>
              </w:rPr>
            </w:pPr>
            <w:r w:rsidRPr="008805B8">
              <w:rPr>
                <w:rFonts w:ascii="Calibri" w:hAnsi="Calibri" w:cs="Calibri"/>
                <w:sz w:val="20"/>
              </w:rPr>
              <w:t>439</w:t>
            </w:r>
          </w:p>
        </w:tc>
        <w:tc>
          <w:tcPr>
            <w:tcW w:w="720" w:type="dxa"/>
            <w:tcBorders>
              <w:top w:val="nil"/>
              <w:left w:val="nil"/>
              <w:bottom w:val="single" w:sz="8" w:space="0" w:color="auto"/>
              <w:right w:val="single" w:sz="8" w:space="0" w:color="auto"/>
            </w:tcBorders>
            <w:shd w:val="clear" w:color="auto" w:fill="auto"/>
            <w:noWrap/>
            <w:vAlign w:val="center"/>
            <w:hideMark/>
          </w:tcPr>
          <w:p w14:paraId="576511FC" w14:textId="46084761" w:rsidR="002D6124" w:rsidRPr="008A10CB" w:rsidRDefault="002D6124" w:rsidP="002D6124">
            <w:pPr>
              <w:jc w:val="center"/>
              <w:rPr>
                <w:rFonts w:ascii="Calibri" w:hAnsi="Calibri" w:cs="Calibri"/>
              </w:rPr>
            </w:pPr>
            <w:r w:rsidRPr="008805B8">
              <w:rPr>
                <w:rFonts w:ascii="Calibri" w:hAnsi="Calibri" w:cs="Calibri"/>
                <w:sz w:val="20"/>
              </w:rPr>
              <w:t>460</w:t>
            </w:r>
          </w:p>
        </w:tc>
      </w:tr>
      <w:tr w:rsidR="002D6124" w:rsidRPr="008A10CB" w14:paraId="174E1F98"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6BEA7BAB" w14:textId="27D6558B" w:rsidR="002D6124" w:rsidRPr="008A10CB" w:rsidRDefault="002D6124" w:rsidP="002D6124">
            <w:pPr>
              <w:rPr>
                <w:rFonts w:ascii="Calibri" w:hAnsi="Calibri" w:cs="Calibri"/>
                <w:sz w:val="20"/>
              </w:rPr>
            </w:pPr>
            <w:r w:rsidRPr="00411741">
              <w:rPr>
                <w:rFonts w:ascii="Calibri" w:hAnsi="Calibri" w:cs="Calibri"/>
                <w:sz w:val="20"/>
                <w:szCs w:val="20"/>
              </w:rPr>
              <w:t>Aquatic Invertebrates</w:t>
            </w:r>
          </w:p>
        </w:tc>
        <w:tc>
          <w:tcPr>
            <w:tcW w:w="810" w:type="dxa"/>
            <w:tcBorders>
              <w:top w:val="nil"/>
              <w:left w:val="nil"/>
              <w:bottom w:val="single" w:sz="8" w:space="0" w:color="auto"/>
              <w:right w:val="single" w:sz="8" w:space="0" w:color="auto"/>
            </w:tcBorders>
            <w:shd w:val="clear" w:color="auto" w:fill="auto"/>
            <w:vAlign w:val="center"/>
            <w:hideMark/>
          </w:tcPr>
          <w:p w14:paraId="1D9737CC" w14:textId="17743D5F" w:rsidR="002D6124" w:rsidRPr="008A10CB" w:rsidRDefault="002D6124" w:rsidP="002D6124">
            <w:pPr>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4D445D82" w14:textId="31FBF0FF" w:rsidR="002D6124" w:rsidRPr="008A10CB" w:rsidRDefault="002D6124" w:rsidP="002D6124">
            <w:pPr>
              <w:jc w:val="center"/>
              <w:rPr>
                <w:rFonts w:ascii="Calibri" w:hAnsi="Calibri" w:cs="Calibri"/>
                <w:sz w:val="20"/>
              </w:rPr>
            </w:pPr>
            <w:r w:rsidRPr="008805B8">
              <w:rPr>
                <w:rFonts w:ascii="Calibri" w:hAnsi="Calibri" w:cs="Calibri"/>
                <w:sz w:val="20"/>
              </w:rPr>
              <w:t>71</w:t>
            </w:r>
          </w:p>
        </w:tc>
        <w:tc>
          <w:tcPr>
            <w:tcW w:w="2160" w:type="dxa"/>
            <w:tcBorders>
              <w:top w:val="nil"/>
              <w:left w:val="nil"/>
              <w:bottom w:val="single" w:sz="8" w:space="0" w:color="auto"/>
              <w:right w:val="single" w:sz="8" w:space="0" w:color="auto"/>
            </w:tcBorders>
            <w:shd w:val="clear" w:color="auto" w:fill="auto"/>
            <w:noWrap/>
            <w:vAlign w:val="center"/>
            <w:hideMark/>
          </w:tcPr>
          <w:p w14:paraId="52C41A3E" w14:textId="5F1FA498" w:rsidR="002D6124" w:rsidRPr="008A10CB" w:rsidRDefault="002D6124" w:rsidP="002D6124">
            <w:pPr>
              <w:jc w:val="center"/>
              <w:rPr>
                <w:rFonts w:ascii="Calibri" w:hAnsi="Calibri" w:cs="Calibri"/>
              </w:rPr>
            </w:pPr>
            <w:r w:rsidRPr="008805B8">
              <w:rPr>
                <w:rFonts w:ascii="Calibri" w:hAnsi="Calibri" w:cs="Calibri"/>
                <w:sz w:val="20"/>
              </w:rPr>
              <w:t>5</w:t>
            </w:r>
          </w:p>
        </w:tc>
        <w:tc>
          <w:tcPr>
            <w:tcW w:w="2250" w:type="dxa"/>
            <w:tcBorders>
              <w:top w:val="nil"/>
              <w:left w:val="nil"/>
              <w:bottom w:val="single" w:sz="8" w:space="0" w:color="auto"/>
              <w:right w:val="single" w:sz="8" w:space="0" w:color="auto"/>
            </w:tcBorders>
            <w:shd w:val="clear" w:color="auto" w:fill="auto"/>
            <w:noWrap/>
            <w:vAlign w:val="center"/>
            <w:hideMark/>
          </w:tcPr>
          <w:p w14:paraId="482FAA71" w14:textId="2D671D5C" w:rsidR="002D6124" w:rsidRPr="008A10CB" w:rsidRDefault="002D6124" w:rsidP="002D6124">
            <w:pPr>
              <w:jc w:val="center"/>
              <w:rPr>
                <w:rFonts w:ascii="Calibri" w:hAnsi="Calibri" w:cs="Calibri"/>
              </w:rPr>
            </w:pPr>
            <w:r w:rsidRPr="008805B8">
              <w:rPr>
                <w:rFonts w:ascii="Calibri" w:hAnsi="Calibri" w:cs="Calibri"/>
                <w:sz w:val="20"/>
              </w:rPr>
              <w:t>66</w:t>
            </w:r>
          </w:p>
        </w:tc>
        <w:tc>
          <w:tcPr>
            <w:tcW w:w="720" w:type="dxa"/>
            <w:tcBorders>
              <w:top w:val="nil"/>
              <w:left w:val="nil"/>
              <w:bottom w:val="single" w:sz="8" w:space="0" w:color="auto"/>
              <w:right w:val="single" w:sz="8" w:space="0" w:color="auto"/>
            </w:tcBorders>
            <w:shd w:val="clear" w:color="auto" w:fill="auto"/>
            <w:noWrap/>
            <w:vAlign w:val="center"/>
            <w:hideMark/>
          </w:tcPr>
          <w:p w14:paraId="67AA9CCC" w14:textId="4C80CF9F" w:rsidR="002D6124" w:rsidRPr="008A10CB" w:rsidRDefault="002D6124" w:rsidP="002D6124">
            <w:pPr>
              <w:jc w:val="center"/>
              <w:rPr>
                <w:rFonts w:ascii="Calibri" w:hAnsi="Calibri" w:cs="Calibri"/>
              </w:rPr>
            </w:pPr>
            <w:r w:rsidRPr="008805B8">
              <w:rPr>
                <w:rFonts w:ascii="Calibri" w:hAnsi="Calibri" w:cs="Calibri"/>
                <w:sz w:val="20"/>
              </w:rPr>
              <w:t>71</w:t>
            </w:r>
          </w:p>
        </w:tc>
      </w:tr>
      <w:tr w:rsidR="002D6124" w:rsidRPr="008A10CB" w14:paraId="297B077F" w14:textId="77777777" w:rsidTr="00F04F96">
        <w:trPr>
          <w:trHeight w:val="300"/>
        </w:trPr>
        <w:tc>
          <w:tcPr>
            <w:tcW w:w="1790" w:type="dxa"/>
            <w:tcBorders>
              <w:top w:val="nil"/>
              <w:left w:val="single" w:sz="8" w:space="0" w:color="auto"/>
              <w:bottom w:val="single" w:sz="8" w:space="0" w:color="auto"/>
              <w:right w:val="single" w:sz="8" w:space="0" w:color="auto"/>
            </w:tcBorders>
            <w:shd w:val="clear" w:color="auto" w:fill="auto"/>
            <w:noWrap/>
            <w:vAlign w:val="center"/>
            <w:hideMark/>
          </w:tcPr>
          <w:p w14:paraId="2B1EC9C2" w14:textId="2ED8D465" w:rsidR="002D6124" w:rsidRPr="008A10CB" w:rsidRDefault="002D6124" w:rsidP="002D6124">
            <w:pPr>
              <w:rPr>
                <w:rFonts w:ascii="Calibri" w:hAnsi="Calibri" w:cs="Calibri"/>
                <w:sz w:val="20"/>
              </w:rPr>
            </w:pPr>
            <w:r w:rsidRPr="00411741">
              <w:rPr>
                <w:rFonts w:ascii="Calibri" w:hAnsi="Calibri" w:cs="Calibri"/>
                <w:sz w:val="20"/>
                <w:szCs w:val="20"/>
              </w:rPr>
              <w:t>Terrestrial Invertebrates</w:t>
            </w:r>
          </w:p>
        </w:tc>
        <w:tc>
          <w:tcPr>
            <w:tcW w:w="810" w:type="dxa"/>
            <w:tcBorders>
              <w:top w:val="nil"/>
              <w:left w:val="nil"/>
              <w:bottom w:val="single" w:sz="8" w:space="0" w:color="auto"/>
              <w:right w:val="single" w:sz="8" w:space="0" w:color="auto"/>
            </w:tcBorders>
            <w:shd w:val="clear" w:color="auto" w:fill="auto"/>
            <w:vAlign w:val="center"/>
            <w:hideMark/>
          </w:tcPr>
          <w:p w14:paraId="572EF283" w14:textId="0522B9B9" w:rsidR="002D6124" w:rsidRPr="008A10CB" w:rsidRDefault="002D6124" w:rsidP="002D6124">
            <w:pPr>
              <w:jc w:val="center"/>
              <w:rPr>
                <w:rFonts w:ascii="Calibri" w:hAnsi="Calibri" w:cs="Calibri"/>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auto" w:fill="auto"/>
            <w:vAlign w:val="center"/>
            <w:hideMark/>
          </w:tcPr>
          <w:p w14:paraId="3F1A8007" w14:textId="2B51C144" w:rsidR="002D6124" w:rsidRPr="008A10CB" w:rsidRDefault="002D6124" w:rsidP="002D6124">
            <w:pPr>
              <w:jc w:val="center"/>
              <w:rPr>
                <w:rFonts w:ascii="Calibri" w:hAnsi="Calibri" w:cs="Calibri"/>
                <w:sz w:val="20"/>
              </w:rPr>
            </w:pPr>
            <w:r w:rsidRPr="008805B8">
              <w:rPr>
                <w:rFonts w:ascii="Calibri" w:hAnsi="Calibri" w:cs="Calibri"/>
                <w:sz w:val="20"/>
              </w:rPr>
              <w:t>49</w:t>
            </w:r>
          </w:p>
        </w:tc>
        <w:tc>
          <w:tcPr>
            <w:tcW w:w="2160" w:type="dxa"/>
            <w:tcBorders>
              <w:top w:val="nil"/>
              <w:left w:val="nil"/>
              <w:bottom w:val="single" w:sz="8" w:space="0" w:color="auto"/>
              <w:right w:val="single" w:sz="8" w:space="0" w:color="auto"/>
            </w:tcBorders>
            <w:shd w:val="clear" w:color="auto" w:fill="auto"/>
            <w:noWrap/>
            <w:vAlign w:val="center"/>
            <w:hideMark/>
          </w:tcPr>
          <w:p w14:paraId="76AE70B8" w14:textId="36FE06F8" w:rsidR="002D6124" w:rsidRPr="008A10CB" w:rsidRDefault="002D6124" w:rsidP="002D6124">
            <w:pPr>
              <w:jc w:val="center"/>
              <w:rPr>
                <w:rFonts w:ascii="Calibri" w:hAnsi="Calibri" w:cs="Calibri"/>
              </w:rPr>
            </w:pPr>
            <w:r w:rsidRPr="008805B8">
              <w:rPr>
                <w:rFonts w:ascii="Calibri" w:hAnsi="Calibri" w:cs="Calibri"/>
                <w:sz w:val="20"/>
              </w:rPr>
              <w:t>12</w:t>
            </w:r>
          </w:p>
        </w:tc>
        <w:tc>
          <w:tcPr>
            <w:tcW w:w="2250" w:type="dxa"/>
            <w:tcBorders>
              <w:top w:val="nil"/>
              <w:left w:val="nil"/>
              <w:bottom w:val="single" w:sz="8" w:space="0" w:color="auto"/>
              <w:right w:val="single" w:sz="8" w:space="0" w:color="auto"/>
            </w:tcBorders>
            <w:shd w:val="clear" w:color="auto" w:fill="auto"/>
            <w:noWrap/>
            <w:vAlign w:val="center"/>
            <w:hideMark/>
          </w:tcPr>
          <w:p w14:paraId="1D273D6E" w14:textId="18D704B5" w:rsidR="002D6124" w:rsidRPr="008A10CB" w:rsidRDefault="002D6124" w:rsidP="002D6124">
            <w:pPr>
              <w:jc w:val="center"/>
              <w:rPr>
                <w:rFonts w:ascii="Calibri" w:hAnsi="Calibri" w:cs="Calibri"/>
              </w:rPr>
            </w:pPr>
            <w:r w:rsidRPr="008805B8">
              <w:rPr>
                <w:rFonts w:ascii="Calibri" w:hAnsi="Calibri" w:cs="Calibri"/>
                <w:sz w:val="20"/>
              </w:rPr>
              <w:t>37</w:t>
            </w:r>
          </w:p>
        </w:tc>
        <w:tc>
          <w:tcPr>
            <w:tcW w:w="720" w:type="dxa"/>
            <w:tcBorders>
              <w:top w:val="nil"/>
              <w:left w:val="nil"/>
              <w:bottom w:val="single" w:sz="8" w:space="0" w:color="auto"/>
              <w:right w:val="single" w:sz="8" w:space="0" w:color="auto"/>
            </w:tcBorders>
            <w:shd w:val="clear" w:color="auto" w:fill="auto"/>
            <w:noWrap/>
            <w:vAlign w:val="center"/>
            <w:hideMark/>
          </w:tcPr>
          <w:p w14:paraId="056C5EBC" w14:textId="20208C04" w:rsidR="002D6124" w:rsidRPr="008A10CB" w:rsidRDefault="002D6124" w:rsidP="002D6124">
            <w:pPr>
              <w:jc w:val="center"/>
              <w:rPr>
                <w:rFonts w:ascii="Calibri" w:hAnsi="Calibri" w:cs="Calibri"/>
              </w:rPr>
            </w:pPr>
            <w:r w:rsidRPr="008805B8">
              <w:rPr>
                <w:rFonts w:ascii="Calibri" w:hAnsi="Calibri" w:cs="Calibri"/>
                <w:sz w:val="20"/>
              </w:rPr>
              <w:t>49</w:t>
            </w:r>
          </w:p>
        </w:tc>
      </w:tr>
      <w:tr w:rsidR="002D6124" w:rsidRPr="008A10CB" w14:paraId="0F3849E2" w14:textId="77777777" w:rsidTr="00F04F96">
        <w:trPr>
          <w:trHeight w:val="300"/>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6FDB6BA0" w14:textId="6E237D08" w:rsidR="002D6124" w:rsidRPr="008A10CB" w:rsidRDefault="002D6124" w:rsidP="002D6124">
            <w:pPr>
              <w:rPr>
                <w:rFonts w:ascii="Calibri" w:hAnsi="Calibri" w:cs="Calibri"/>
                <w:sz w:val="20"/>
              </w:rPr>
            </w:pPr>
            <w:r w:rsidRPr="00411741">
              <w:rPr>
                <w:rFonts w:ascii="Calibri" w:hAnsi="Calibri" w:cs="Calibri"/>
                <w:sz w:val="20"/>
                <w:szCs w:val="20"/>
              </w:rPr>
              <w:t>Total</w:t>
            </w:r>
          </w:p>
        </w:tc>
        <w:tc>
          <w:tcPr>
            <w:tcW w:w="810" w:type="dxa"/>
            <w:tcBorders>
              <w:top w:val="nil"/>
              <w:left w:val="nil"/>
              <w:bottom w:val="single" w:sz="8" w:space="0" w:color="auto"/>
              <w:right w:val="single" w:sz="8" w:space="0" w:color="auto"/>
            </w:tcBorders>
            <w:shd w:val="clear" w:color="000000" w:fill="D9D9D9"/>
            <w:vAlign w:val="center"/>
            <w:hideMark/>
          </w:tcPr>
          <w:p w14:paraId="4FBCC6D2" w14:textId="212AD69D" w:rsidR="002D6124" w:rsidRPr="008A10CB" w:rsidRDefault="002D6124" w:rsidP="002D6124">
            <w:pPr>
              <w:jc w:val="center"/>
              <w:rPr>
                <w:rFonts w:ascii="Calibri" w:hAnsi="Calibri" w:cs="Calibri"/>
                <w:sz w:val="20"/>
              </w:rPr>
            </w:pPr>
            <w:r w:rsidRPr="008805B8">
              <w:rPr>
                <w:rFonts w:ascii="Calibri" w:hAnsi="Calibri" w:cs="Calibri"/>
                <w:sz w:val="20"/>
              </w:rPr>
              <w:t>3</w:t>
            </w:r>
          </w:p>
        </w:tc>
        <w:tc>
          <w:tcPr>
            <w:tcW w:w="900" w:type="dxa"/>
            <w:tcBorders>
              <w:top w:val="nil"/>
              <w:left w:val="nil"/>
              <w:bottom w:val="single" w:sz="8" w:space="0" w:color="auto"/>
              <w:right w:val="single" w:sz="8" w:space="0" w:color="auto"/>
            </w:tcBorders>
            <w:shd w:val="clear" w:color="000000" w:fill="D9D9D9"/>
            <w:vAlign w:val="center"/>
            <w:hideMark/>
          </w:tcPr>
          <w:p w14:paraId="18243D22" w14:textId="2D883FA0" w:rsidR="002D6124" w:rsidRPr="008A10CB" w:rsidRDefault="002D6124" w:rsidP="002D6124">
            <w:pPr>
              <w:jc w:val="center"/>
              <w:rPr>
                <w:rFonts w:ascii="Calibri" w:hAnsi="Calibri" w:cs="Calibri"/>
                <w:sz w:val="20"/>
              </w:rPr>
            </w:pPr>
            <w:r w:rsidRPr="008805B8">
              <w:rPr>
                <w:rFonts w:ascii="Calibri" w:hAnsi="Calibri" w:cs="Calibri"/>
                <w:sz w:val="20"/>
              </w:rPr>
              <w:t>788</w:t>
            </w:r>
          </w:p>
        </w:tc>
        <w:tc>
          <w:tcPr>
            <w:tcW w:w="2160" w:type="dxa"/>
            <w:tcBorders>
              <w:top w:val="nil"/>
              <w:left w:val="nil"/>
              <w:bottom w:val="single" w:sz="8" w:space="0" w:color="auto"/>
              <w:right w:val="single" w:sz="8" w:space="0" w:color="auto"/>
            </w:tcBorders>
            <w:shd w:val="clear" w:color="000000" w:fill="D9D9D9"/>
            <w:vAlign w:val="center"/>
            <w:hideMark/>
          </w:tcPr>
          <w:p w14:paraId="414A08D5" w14:textId="4278A068" w:rsidR="002D6124" w:rsidRPr="008A10CB" w:rsidRDefault="002D6124" w:rsidP="002D6124">
            <w:pPr>
              <w:jc w:val="center"/>
              <w:rPr>
                <w:rFonts w:ascii="Calibri" w:hAnsi="Calibri" w:cs="Calibri"/>
                <w:sz w:val="20"/>
              </w:rPr>
            </w:pPr>
            <w:r w:rsidRPr="008805B8">
              <w:rPr>
                <w:rFonts w:ascii="Calibri" w:hAnsi="Calibri" w:cs="Calibri"/>
                <w:sz w:val="20"/>
              </w:rPr>
              <w:t>52</w:t>
            </w:r>
          </w:p>
        </w:tc>
        <w:tc>
          <w:tcPr>
            <w:tcW w:w="2250" w:type="dxa"/>
            <w:tcBorders>
              <w:top w:val="nil"/>
              <w:left w:val="nil"/>
              <w:bottom w:val="single" w:sz="8" w:space="0" w:color="auto"/>
              <w:right w:val="single" w:sz="8" w:space="0" w:color="auto"/>
            </w:tcBorders>
            <w:shd w:val="clear" w:color="000000" w:fill="D9D9D9"/>
            <w:vAlign w:val="center"/>
            <w:hideMark/>
          </w:tcPr>
          <w:p w14:paraId="5041B828" w14:textId="4DEABFDC" w:rsidR="002D6124" w:rsidRPr="008A10CB" w:rsidRDefault="002D6124" w:rsidP="002D6124">
            <w:pPr>
              <w:jc w:val="center"/>
              <w:rPr>
                <w:rFonts w:ascii="Calibri" w:hAnsi="Calibri" w:cs="Calibri"/>
                <w:sz w:val="20"/>
              </w:rPr>
            </w:pPr>
            <w:r w:rsidRPr="008805B8">
              <w:rPr>
                <w:rFonts w:ascii="Calibri" w:hAnsi="Calibri" w:cs="Calibri"/>
                <w:sz w:val="20"/>
              </w:rPr>
              <w:t>736</w:t>
            </w:r>
          </w:p>
        </w:tc>
        <w:tc>
          <w:tcPr>
            <w:tcW w:w="720" w:type="dxa"/>
            <w:tcBorders>
              <w:top w:val="nil"/>
              <w:left w:val="nil"/>
              <w:bottom w:val="single" w:sz="8" w:space="0" w:color="auto"/>
              <w:right w:val="single" w:sz="8" w:space="0" w:color="auto"/>
            </w:tcBorders>
            <w:shd w:val="clear" w:color="000000" w:fill="D9D9D9"/>
            <w:noWrap/>
            <w:vAlign w:val="center"/>
            <w:hideMark/>
          </w:tcPr>
          <w:p w14:paraId="0442BC23" w14:textId="487AC83B" w:rsidR="002D6124" w:rsidRPr="008A10CB" w:rsidRDefault="002D6124" w:rsidP="002D6124">
            <w:pPr>
              <w:jc w:val="center"/>
              <w:rPr>
                <w:rFonts w:ascii="Calibri" w:hAnsi="Calibri" w:cs="Calibri"/>
                <w:sz w:val="20"/>
              </w:rPr>
            </w:pPr>
            <w:r w:rsidRPr="008805B8">
              <w:rPr>
                <w:rFonts w:ascii="Calibri" w:hAnsi="Calibri" w:cs="Calibri"/>
                <w:sz w:val="20"/>
              </w:rPr>
              <w:t>791</w:t>
            </w:r>
          </w:p>
        </w:tc>
      </w:tr>
      <w:tr w:rsidR="002D6124" w:rsidRPr="008A10CB" w14:paraId="2A6C9DCD" w14:textId="77777777" w:rsidTr="00F04F96">
        <w:trPr>
          <w:trHeight w:val="324"/>
        </w:trPr>
        <w:tc>
          <w:tcPr>
            <w:tcW w:w="1790" w:type="dxa"/>
            <w:tcBorders>
              <w:top w:val="nil"/>
              <w:left w:val="single" w:sz="8" w:space="0" w:color="auto"/>
              <w:bottom w:val="single" w:sz="8" w:space="0" w:color="auto"/>
              <w:right w:val="single" w:sz="8" w:space="0" w:color="auto"/>
            </w:tcBorders>
            <w:shd w:val="clear" w:color="000000" w:fill="D9D9D9"/>
            <w:noWrap/>
            <w:vAlign w:val="center"/>
            <w:hideMark/>
          </w:tcPr>
          <w:p w14:paraId="7D771B4B" w14:textId="56F797A3" w:rsidR="002D6124" w:rsidRPr="008A10CB" w:rsidRDefault="002D6124" w:rsidP="002D6124">
            <w:pPr>
              <w:rPr>
                <w:rFonts w:ascii="Calibri" w:hAnsi="Calibri" w:cs="Calibri"/>
                <w:sz w:val="20"/>
              </w:rPr>
            </w:pPr>
            <w:r w:rsidRPr="00411741">
              <w:rPr>
                <w:rFonts w:ascii="Calibri" w:hAnsi="Calibri" w:cs="Calibri"/>
                <w:sz w:val="20"/>
                <w:szCs w:val="20"/>
              </w:rPr>
              <w:t>Percent of total</w:t>
            </w:r>
          </w:p>
        </w:tc>
        <w:tc>
          <w:tcPr>
            <w:tcW w:w="810" w:type="dxa"/>
            <w:tcBorders>
              <w:top w:val="nil"/>
              <w:left w:val="nil"/>
              <w:bottom w:val="single" w:sz="8" w:space="0" w:color="auto"/>
              <w:right w:val="single" w:sz="8" w:space="0" w:color="auto"/>
            </w:tcBorders>
            <w:shd w:val="clear" w:color="000000" w:fill="D9D9D9"/>
            <w:noWrap/>
            <w:vAlign w:val="center"/>
            <w:hideMark/>
          </w:tcPr>
          <w:p w14:paraId="5D5F154A" w14:textId="7167576D" w:rsidR="002D6124" w:rsidRPr="008A10CB" w:rsidRDefault="002D6124" w:rsidP="002D6124">
            <w:pPr>
              <w:jc w:val="center"/>
              <w:rPr>
                <w:rFonts w:ascii="Calibri" w:hAnsi="Calibri" w:cs="Calibri"/>
                <w:sz w:val="20"/>
              </w:rPr>
            </w:pPr>
            <w:r w:rsidRPr="008805B8">
              <w:rPr>
                <w:rFonts w:ascii="Calibri" w:hAnsi="Calibri" w:cs="Calibri"/>
                <w:sz w:val="20"/>
              </w:rPr>
              <w:t>0%</w:t>
            </w:r>
          </w:p>
        </w:tc>
        <w:tc>
          <w:tcPr>
            <w:tcW w:w="900" w:type="dxa"/>
            <w:tcBorders>
              <w:top w:val="nil"/>
              <w:left w:val="nil"/>
              <w:bottom w:val="single" w:sz="8" w:space="0" w:color="auto"/>
              <w:right w:val="single" w:sz="8" w:space="0" w:color="auto"/>
            </w:tcBorders>
            <w:shd w:val="clear" w:color="000000" w:fill="D9D9D9"/>
            <w:noWrap/>
            <w:vAlign w:val="center"/>
            <w:hideMark/>
          </w:tcPr>
          <w:p w14:paraId="23C09A44" w14:textId="0AB65DEB" w:rsidR="002D6124" w:rsidRPr="008A10CB" w:rsidRDefault="002D6124" w:rsidP="002D6124">
            <w:pPr>
              <w:jc w:val="center"/>
              <w:rPr>
                <w:rFonts w:ascii="Calibri" w:hAnsi="Calibri" w:cs="Calibri"/>
                <w:sz w:val="20"/>
              </w:rPr>
            </w:pPr>
            <w:r w:rsidRPr="008805B8">
              <w:rPr>
                <w:rFonts w:ascii="Calibri" w:hAnsi="Calibri" w:cs="Calibri"/>
                <w:sz w:val="20"/>
              </w:rPr>
              <w:t>100%</w:t>
            </w:r>
          </w:p>
        </w:tc>
        <w:tc>
          <w:tcPr>
            <w:tcW w:w="2160" w:type="dxa"/>
            <w:tcBorders>
              <w:top w:val="nil"/>
              <w:left w:val="nil"/>
              <w:bottom w:val="single" w:sz="8" w:space="0" w:color="auto"/>
              <w:right w:val="single" w:sz="8" w:space="0" w:color="auto"/>
            </w:tcBorders>
            <w:shd w:val="clear" w:color="000000" w:fill="D9D9D9"/>
            <w:noWrap/>
            <w:vAlign w:val="center"/>
            <w:hideMark/>
          </w:tcPr>
          <w:p w14:paraId="2EEAE923" w14:textId="061E0989" w:rsidR="002D6124" w:rsidRPr="008A10CB" w:rsidRDefault="002D6124" w:rsidP="002D6124">
            <w:pPr>
              <w:jc w:val="center"/>
              <w:rPr>
                <w:rFonts w:ascii="Calibri" w:hAnsi="Calibri" w:cs="Calibri"/>
                <w:sz w:val="20"/>
              </w:rPr>
            </w:pPr>
            <w:r w:rsidRPr="008805B8">
              <w:rPr>
                <w:rFonts w:ascii="Calibri" w:hAnsi="Calibri" w:cs="Calibri"/>
                <w:sz w:val="20"/>
              </w:rPr>
              <w:t>7%</w:t>
            </w:r>
          </w:p>
        </w:tc>
        <w:tc>
          <w:tcPr>
            <w:tcW w:w="2250" w:type="dxa"/>
            <w:tcBorders>
              <w:top w:val="nil"/>
              <w:left w:val="nil"/>
              <w:bottom w:val="single" w:sz="8" w:space="0" w:color="auto"/>
              <w:right w:val="single" w:sz="8" w:space="0" w:color="auto"/>
            </w:tcBorders>
            <w:shd w:val="clear" w:color="000000" w:fill="D9D9D9"/>
            <w:noWrap/>
            <w:vAlign w:val="center"/>
            <w:hideMark/>
          </w:tcPr>
          <w:p w14:paraId="04FEB3AB" w14:textId="160523FC" w:rsidR="002D6124" w:rsidRPr="008A10CB" w:rsidRDefault="002D6124" w:rsidP="002D6124">
            <w:pPr>
              <w:jc w:val="center"/>
              <w:rPr>
                <w:rFonts w:ascii="Calibri" w:hAnsi="Calibri" w:cs="Calibri"/>
                <w:sz w:val="20"/>
              </w:rPr>
            </w:pPr>
            <w:r w:rsidRPr="008805B8">
              <w:rPr>
                <w:rFonts w:ascii="Calibri" w:hAnsi="Calibri" w:cs="Calibri"/>
                <w:sz w:val="20"/>
              </w:rPr>
              <w:t>93%</w:t>
            </w:r>
          </w:p>
        </w:tc>
        <w:tc>
          <w:tcPr>
            <w:tcW w:w="720" w:type="dxa"/>
            <w:tcBorders>
              <w:top w:val="nil"/>
              <w:left w:val="nil"/>
              <w:bottom w:val="single" w:sz="8" w:space="0" w:color="auto"/>
              <w:right w:val="single" w:sz="8" w:space="0" w:color="auto"/>
            </w:tcBorders>
            <w:shd w:val="clear" w:color="000000" w:fill="D9D9D9"/>
            <w:noWrap/>
            <w:vAlign w:val="center"/>
            <w:hideMark/>
          </w:tcPr>
          <w:p w14:paraId="3A3F5354" w14:textId="2CE6829A" w:rsidR="002D6124" w:rsidRPr="008A10CB" w:rsidRDefault="002D6124" w:rsidP="002D6124">
            <w:pPr>
              <w:rPr>
                <w:szCs w:val="24"/>
              </w:rPr>
            </w:pPr>
            <w:r w:rsidRPr="008805B8">
              <w:rPr>
                <w:sz w:val="20"/>
              </w:rPr>
              <w:t> </w:t>
            </w:r>
          </w:p>
        </w:tc>
      </w:tr>
    </w:tbl>
    <w:p w14:paraId="6E18ECC4" w14:textId="53E0C22D" w:rsidR="001F7614" w:rsidRPr="008A10CB" w:rsidRDefault="001F7614" w:rsidP="001F7614">
      <w:pPr>
        <w:rPr>
          <w:sz w:val="20"/>
        </w:rPr>
      </w:pPr>
    </w:p>
    <w:p w14:paraId="3DD9A352" w14:textId="02FEF232" w:rsidR="001F7614" w:rsidRPr="008A10CB" w:rsidRDefault="001F7614" w:rsidP="02340981">
      <w:pPr>
        <w:keepNext/>
        <w:rPr>
          <w:b/>
          <w:bCs/>
        </w:rPr>
      </w:pPr>
      <w:r w:rsidRPr="02340981">
        <w:rPr>
          <w:b/>
          <w:bCs/>
        </w:rPr>
        <w:t xml:space="preserve">Table </w:t>
      </w:r>
      <w:r w:rsidR="19940965" w:rsidRPr="02340981">
        <w:rPr>
          <w:b/>
          <w:bCs/>
        </w:rPr>
        <w:t>3</w:t>
      </w:r>
      <w:r w:rsidRPr="02340981">
        <w:rPr>
          <w:b/>
          <w:bCs/>
        </w:rPr>
        <w:t>. Classification of LAA Determinations by Strength of Evidence.</w:t>
      </w:r>
    </w:p>
    <w:tbl>
      <w:tblPr>
        <w:tblW w:w="9350" w:type="dxa"/>
        <w:tblLook w:val="04A0" w:firstRow="1" w:lastRow="0" w:firstColumn="1" w:lastColumn="0" w:noHBand="0" w:noVBand="1"/>
      </w:tblPr>
      <w:tblGrid>
        <w:gridCol w:w="3050"/>
        <w:gridCol w:w="1571"/>
        <w:gridCol w:w="1497"/>
        <w:gridCol w:w="1522"/>
        <w:gridCol w:w="1710"/>
      </w:tblGrid>
      <w:tr w:rsidR="00712AB2" w:rsidRPr="00293CD0" w14:paraId="51E6427C" w14:textId="77777777" w:rsidTr="00F04F96">
        <w:trPr>
          <w:trHeight w:val="300"/>
        </w:trPr>
        <w:tc>
          <w:tcPr>
            <w:tcW w:w="3050" w:type="dxa"/>
            <w:vMerge w:val="restart"/>
            <w:tcBorders>
              <w:top w:val="single" w:sz="8" w:space="0" w:color="auto"/>
              <w:left w:val="single" w:sz="8" w:space="0" w:color="auto"/>
              <w:bottom w:val="single" w:sz="8" w:space="0" w:color="000000"/>
              <w:right w:val="single" w:sz="8" w:space="0" w:color="auto"/>
            </w:tcBorders>
            <w:shd w:val="clear" w:color="000000" w:fill="E7E6E6"/>
            <w:noWrap/>
            <w:vAlign w:val="center"/>
            <w:hideMark/>
          </w:tcPr>
          <w:p w14:paraId="00F7E0BF" w14:textId="77777777" w:rsidR="00712AB2" w:rsidRPr="00293CD0" w:rsidRDefault="00712AB2" w:rsidP="00F04F96">
            <w:pPr>
              <w:rPr>
                <w:rFonts w:ascii="Calibri" w:hAnsi="Calibri" w:cs="Calibri"/>
                <w:b/>
                <w:bCs/>
                <w:sz w:val="20"/>
              </w:rPr>
            </w:pPr>
            <w:r w:rsidRPr="00293CD0">
              <w:rPr>
                <w:rFonts w:ascii="Calibri" w:hAnsi="Calibri" w:cs="Calibri"/>
                <w:b/>
                <w:bCs/>
                <w:sz w:val="20"/>
              </w:rPr>
              <w:t>Strength of LAA call</w:t>
            </w:r>
          </w:p>
        </w:tc>
        <w:tc>
          <w:tcPr>
            <w:tcW w:w="3068" w:type="dxa"/>
            <w:gridSpan w:val="2"/>
            <w:tcBorders>
              <w:top w:val="single" w:sz="8" w:space="0" w:color="auto"/>
              <w:left w:val="nil"/>
              <w:bottom w:val="single" w:sz="8" w:space="0" w:color="auto"/>
              <w:right w:val="single" w:sz="8" w:space="0" w:color="000000"/>
            </w:tcBorders>
            <w:shd w:val="clear" w:color="000000" w:fill="E7E6E6"/>
            <w:noWrap/>
            <w:vAlign w:val="center"/>
            <w:hideMark/>
          </w:tcPr>
          <w:p w14:paraId="4075AFF1"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Species range</w:t>
            </w:r>
          </w:p>
        </w:tc>
        <w:tc>
          <w:tcPr>
            <w:tcW w:w="3232" w:type="dxa"/>
            <w:gridSpan w:val="2"/>
            <w:tcBorders>
              <w:top w:val="single" w:sz="8" w:space="0" w:color="auto"/>
              <w:left w:val="nil"/>
              <w:bottom w:val="single" w:sz="8" w:space="0" w:color="auto"/>
              <w:right w:val="single" w:sz="8" w:space="0" w:color="000000"/>
            </w:tcBorders>
            <w:shd w:val="clear" w:color="000000" w:fill="E7E6E6"/>
            <w:vAlign w:val="center"/>
            <w:hideMark/>
          </w:tcPr>
          <w:p w14:paraId="7DEB95FF"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Critical Habitat</w:t>
            </w:r>
          </w:p>
        </w:tc>
      </w:tr>
      <w:tr w:rsidR="00712AB2" w:rsidRPr="00293CD0" w14:paraId="5415E609" w14:textId="77777777" w:rsidTr="00F04F96">
        <w:trPr>
          <w:trHeight w:val="564"/>
        </w:trPr>
        <w:tc>
          <w:tcPr>
            <w:tcW w:w="3050" w:type="dxa"/>
            <w:vMerge/>
            <w:tcBorders>
              <w:top w:val="single" w:sz="8" w:space="0" w:color="auto"/>
              <w:left w:val="single" w:sz="8" w:space="0" w:color="auto"/>
              <w:bottom w:val="single" w:sz="8" w:space="0" w:color="000000"/>
              <w:right w:val="single" w:sz="8" w:space="0" w:color="auto"/>
            </w:tcBorders>
            <w:vAlign w:val="center"/>
            <w:hideMark/>
          </w:tcPr>
          <w:p w14:paraId="099169CA" w14:textId="77777777" w:rsidR="00712AB2" w:rsidRPr="00293CD0" w:rsidRDefault="00712AB2" w:rsidP="00F04F96">
            <w:pPr>
              <w:rPr>
                <w:rFonts w:ascii="Calibri" w:hAnsi="Calibri" w:cs="Calibri"/>
                <w:b/>
                <w:bCs/>
                <w:sz w:val="20"/>
              </w:rPr>
            </w:pPr>
          </w:p>
        </w:tc>
        <w:tc>
          <w:tcPr>
            <w:tcW w:w="1571" w:type="dxa"/>
            <w:tcBorders>
              <w:top w:val="nil"/>
              <w:left w:val="nil"/>
              <w:bottom w:val="single" w:sz="8" w:space="0" w:color="auto"/>
              <w:right w:val="single" w:sz="8" w:space="0" w:color="auto"/>
            </w:tcBorders>
            <w:shd w:val="clear" w:color="000000" w:fill="E7E6E6"/>
            <w:noWrap/>
            <w:vAlign w:val="center"/>
            <w:hideMark/>
          </w:tcPr>
          <w:p w14:paraId="2A941C96"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Number</w:t>
            </w:r>
          </w:p>
        </w:tc>
        <w:tc>
          <w:tcPr>
            <w:tcW w:w="1497" w:type="dxa"/>
            <w:tcBorders>
              <w:top w:val="nil"/>
              <w:left w:val="nil"/>
              <w:bottom w:val="single" w:sz="8" w:space="0" w:color="auto"/>
              <w:right w:val="single" w:sz="8" w:space="0" w:color="auto"/>
            </w:tcBorders>
            <w:shd w:val="clear" w:color="000000" w:fill="E7E6E6"/>
            <w:vAlign w:val="center"/>
            <w:hideMark/>
          </w:tcPr>
          <w:p w14:paraId="0F1974CC"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 of LAA determinations</w:t>
            </w:r>
          </w:p>
        </w:tc>
        <w:tc>
          <w:tcPr>
            <w:tcW w:w="1522" w:type="dxa"/>
            <w:tcBorders>
              <w:top w:val="nil"/>
              <w:left w:val="nil"/>
              <w:bottom w:val="single" w:sz="8" w:space="0" w:color="auto"/>
              <w:right w:val="single" w:sz="8" w:space="0" w:color="auto"/>
            </w:tcBorders>
            <w:shd w:val="clear" w:color="000000" w:fill="E7E6E6"/>
            <w:vAlign w:val="center"/>
            <w:hideMark/>
          </w:tcPr>
          <w:p w14:paraId="5EA26277"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Number</w:t>
            </w:r>
          </w:p>
        </w:tc>
        <w:tc>
          <w:tcPr>
            <w:tcW w:w="1710" w:type="dxa"/>
            <w:tcBorders>
              <w:top w:val="nil"/>
              <w:left w:val="nil"/>
              <w:bottom w:val="single" w:sz="8" w:space="0" w:color="auto"/>
              <w:right w:val="single" w:sz="8" w:space="0" w:color="auto"/>
            </w:tcBorders>
            <w:shd w:val="clear" w:color="000000" w:fill="E7E6E6"/>
            <w:vAlign w:val="center"/>
            <w:hideMark/>
          </w:tcPr>
          <w:p w14:paraId="16A85D74" w14:textId="77777777" w:rsidR="00712AB2" w:rsidRPr="00293CD0" w:rsidRDefault="00712AB2" w:rsidP="00F04F96">
            <w:pPr>
              <w:jc w:val="center"/>
              <w:rPr>
                <w:rFonts w:ascii="Calibri" w:hAnsi="Calibri" w:cs="Calibri"/>
                <w:b/>
                <w:bCs/>
                <w:sz w:val="20"/>
              </w:rPr>
            </w:pPr>
            <w:r w:rsidRPr="00293CD0">
              <w:rPr>
                <w:rFonts w:ascii="Calibri" w:hAnsi="Calibri" w:cs="Calibri"/>
                <w:b/>
                <w:bCs/>
                <w:sz w:val="20"/>
              </w:rPr>
              <w:t>% of LAA determinations</w:t>
            </w:r>
          </w:p>
        </w:tc>
      </w:tr>
      <w:tr w:rsidR="002D6124" w:rsidRPr="00293CD0" w14:paraId="4FF274F7" w14:textId="77777777" w:rsidTr="00F04F96">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6726B844" w14:textId="10AF3742" w:rsidR="002D6124" w:rsidRPr="00293CD0" w:rsidRDefault="002D6124" w:rsidP="002D6124">
            <w:pPr>
              <w:rPr>
                <w:rFonts w:ascii="Calibri" w:hAnsi="Calibri" w:cs="Calibri"/>
                <w:sz w:val="20"/>
              </w:rPr>
            </w:pPr>
            <w:r w:rsidRPr="00293CD0">
              <w:rPr>
                <w:rFonts w:ascii="Calibri" w:hAnsi="Calibri" w:cs="Calibri"/>
                <w:sz w:val="20"/>
              </w:rPr>
              <w:t>Strongest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5377F01A" w14:textId="558EA6FE" w:rsidR="002D6124" w:rsidRPr="00293CD0" w:rsidRDefault="002D6124" w:rsidP="002D6124">
            <w:pPr>
              <w:jc w:val="center"/>
              <w:rPr>
                <w:rFonts w:ascii="Calibri" w:hAnsi="Calibri" w:cs="Calibri"/>
                <w:sz w:val="20"/>
              </w:rPr>
            </w:pPr>
            <w:r>
              <w:rPr>
                <w:rFonts w:ascii="Calibri" w:hAnsi="Calibri" w:cs="Calibri"/>
                <w:sz w:val="20"/>
              </w:rPr>
              <w:t>131</w:t>
            </w:r>
          </w:p>
        </w:tc>
        <w:tc>
          <w:tcPr>
            <w:tcW w:w="1497" w:type="dxa"/>
            <w:tcBorders>
              <w:top w:val="nil"/>
              <w:left w:val="nil"/>
              <w:bottom w:val="single" w:sz="8" w:space="0" w:color="auto"/>
              <w:right w:val="single" w:sz="8" w:space="0" w:color="auto"/>
            </w:tcBorders>
            <w:shd w:val="clear" w:color="auto" w:fill="auto"/>
            <w:vAlign w:val="center"/>
            <w:hideMark/>
          </w:tcPr>
          <w:p w14:paraId="3B4308C3" w14:textId="65D9FFAD" w:rsidR="002D6124" w:rsidRPr="00293CD0" w:rsidRDefault="002D6124" w:rsidP="002D6124">
            <w:pPr>
              <w:jc w:val="center"/>
              <w:rPr>
                <w:rFonts w:ascii="Calibri" w:hAnsi="Calibri" w:cs="Calibri"/>
                <w:sz w:val="20"/>
              </w:rPr>
            </w:pPr>
            <w:r>
              <w:rPr>
                <w:rFonts w:ascii="Calibri" w:hAnsi="Calibri" w:cs="Calibri"/>
                <w:sz w:val="20"/>
              </w:rPr>
              <w:t>8%</w:t>
            </w:r>
          </w:p>
        </w:tc>
        <w:tc>
          <w:tcPr>
            <w:tcW w:w="1522" w:type="dxa"/>
            <w:tcBorders>
              <w:top w:val="nil"/>
              <w:left w:val="nil"/>
              <w:bottom w:val="single" w:sz="8" w:space="0" w:color="auto"/>
              <w:right w:val="single" w:sz="8" w:space="0" w:color="auto"/>
            </w:tcBorders>
            <w:shd w:val="clear" w:color="auto" w:fill="auto"/>
            <w:noWrap/>
            <w:vAlign w:val="center"/>
            <w:hideMark/>
          </w:tcPr>
          <w:p w14:paraId="15B3E939" w14:textId="65D0A24E" w:rsidR="002D6124" w:rsidRPr="00293CD0" w:rsidRDefault="002D6124" w:rsidP="002D6124">
            <w:pPr>
              <w:jc w:val="center"/>
              <w:rPr>
                <w:rFonts w:ascii="Calibri" w:hAnsi="Calibri" w:cs="Calibri"/>
                <w:sz w:val="20"/>
              </w:rPr>
            </w:pPr>
            <w:r>
              <w:rPr>
                <w:rFonts w:ascii="Calibri" w:hAnsi="Calibri" w:cs="Calibri"/>
                <w:sz w:val="20"/>
              </w:rPr>
              <w:t>70</w:t>
            </w:r>
          </w:p>
        </w:tc>
        <w:tc>
          <w:tcPr>
            <w:tcW w:w="1710" w:type="dxa"/>
            <w:tcBorders>
              <w:top w:val="nil"/>
              <w:left w:val="nil"/>
              <w:bottom w:val="single" w:sz="8" w:space="0" w:color="auto"/>
              <w:right w:val="single" w:sz="8" w:space="0" w:color="auto"/>
            </w:tcBorders>
            <w:shd w:val="clear" w:color="auto" w:fill="auto"/>
            <w:vAlign w:val="center"/>
            <w:hideMark/>
          </w:tcPr>
          <w:p w14:paraId="3206F504" w14:textId="6E9ADBBD" w:rsidR="002D6124" w:rsidRPr="00293CD0" w:rsidRDefault="002D6124" w:rsidP="002D6124">
            <w:pPr>
              <w:jc w:val="center"/>
              <w:rPr>
                <w:rFonts w:ascii="Calibri" w:hAnsi="Calibri" w:cs="Calibri"/>
                <w:sz w:val="20"/>
              </w:rPr>
            </w:pPr>
            <w:r>
              <w:rPr>
                <w:rFonts w:ascii="Calibri" w:hAnsi="Calibri" w:cs="Calibri"/>
                <w:sz w:val="20"/>
              </w:rPr>
              <w:t>10%</w:t>
            </w:r>
          </w:p>
        </w:tc>
      </w:tr>
      <w:tr w:rsidR="002D6124" w:rsidRPr="00293CD0" w14:paraId="7BAF14F5" w14:textId="77777777" w:rsidTr="00F04F96">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237E11C2" w14:textId="7C4B52B1" w:rsidR="002D6124" w:rsidRPr="00293CD0" w:rsidRDefault="002D6124" w:rsidP="002D6124">
            <w:pPr>
              <w:rPr>
                <w:rFonts w:ascii="Calibri" w:hAnsi="Calibri" w:cs="Calibri"/>
                <w:sz w:val="20"/>
              </w:rPr>
            </w:pPr>
            <w:r w:rsidRPr="00293CD0">
              <w:rPr>
                <w:rFonts w:ascii="Calibri" w:hAnsi="Calibri" w:cs="Calibri"/>
                <w:sz w:val="20"/>
              </w:rPr>
              <w:t>Moderate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367BF3C7" w14:textId="2C486588" w:rsidR="002D6124" w:rsidRPr="00293CD0" w:rsidRDefault="002D6124" w:rsidP="002D6124">
            <w:pPr>
              <w:jc w:val="center"/>
              <w:rPr>
                <w:rFonts w:ascii="Calibri" w:hAnsi="Calibri" w:cs="Calibri"/>
                <w:sz w:val="20"/>
              </w:rPr>
            </w:pPr>
            <w:r>
              <w:rPr>
                <w:rFonts w:ascii="Calibri" w:hAnsi="Calibri" w:cs="Calibri"/>
                <w:sz w:val="20"/>
              </w:rPr>
              <w:t>1147</w:t>
            </w:r>
          </w:p>
        </w:tc>
        <w:tc>
          <w:tcPr>
            <w:tcW w:w="1497" w:type="dxa"/>
            <w:tcBorders>
              <w:top w:val="nil"/>
              <w:left w:val="nil"/>
              <w:bottom w:val="single" w:sz="8" w:space="0" w:color="auto"/>
              <w:right w:val="single" w:sz="8" w:space="0" w:color="auto"/>
            </w:tcBorders>
            <w:shd w:val="clear" w:color="auto" w:fill="auto"/>
            <w:vAlign w:val="center"/>
            <w:hideMark/>
          </w:tcPr>
          <w:p w14:paraId="4C43EAE4" w14:textId="76F9E291" w:rsidR="002D6124" w:rsidRPr="00293CD0" w:rsidRDefault="002D6124" w:rsidP="002D6124">
            <w:pPr>
              <w:jc w:val="center"/>
              <w:rPr>
                <w:rFonts w:ascii="Calibri" w:hAnsi="Calibri" w:cs="Calibri"/>
                <w:sz w:val="20"/>
              </w:rPr>
            </w:pPr>
            <w:r>
              <w:rPr>
                <w:rFonts w:ascii="Calibri" w:hAnsi="Calibri" w:cs="Calibri"/>
                <w:sz w:val="20"/>
              </w:rPr>
              <w:t>70%</w:t>
            </w:r>
          </w:p>
        </w:tc>
        <w:tc>
          <w:tcPr>
            <w:tcW w:w="1522" w:type="dxa"/>
            <w:tcBorders>
              <w:top w:val="nil"/>
              <w:left w:val="nil"/>
              <w:bottom w:val="single" w:sz="8" w:space="0" w:color="auto"/>
              <w:right w:val="single" w:sz="8" w:space="0" w:color="auto"/>
            </w:tcBorders>
            <w:shd w:val="clear" w:color="auto" w:fill="auto"/>
            <w:noWrap/>
            <w:vAlign w:val="center"/>
            <w:hideMark/>
          </w:tcPr>
          <w:p w14:paraId="6496FF3F" w14:textId="1E8C3A7E" w:rsidR="002D6124" w:rsidRPr="00293CD0" w:rsidRDefault="002D6124" w:rsidP="002D6124">
            <w:pPr>
              <w:jc w:val="center"/>
              <w:rPr>
                <w:rFonts w:ascii="Calibri" w:hAnsi="Calibri" w:cs="Calibri"/>
                <w:sz w:val="20"/>
              </w:rPr>
            </w:pPr>
            <w:r>
              <w:rPr>
                <w:rFonts w:ascii="Calibri" w:hAnsi="Calibri" w:cs="Calibri"/>
                <w:sz w:val="20"/>
              </w:rPr>
              <w:t>534</w:t>
            </w:r>
          </w:p>
        </w:tc>
        <w:tc>
          <w:tcPr>
            <w:tcW w:w="1710" w:type="dxa"/>
            <w:tcBorders>
              <w:top w:val="nil"/>
              <w:left w:val="nil"/>
              <w:bottom w:val="single" w:sz="8" w:space="0" w:color="auto"/>
              <w:right w:val="single" w:sz="8" w:space="0" w:color="auto"/>
            </w:tcBorders>
            <w:shd w:val="clear" w:color="auto" w:fill="auto"/>
            <w:vAlign w:val="center"/>
            <w:hideMark/>
          </w:tcPr>
          <w:p w14:paraId="0FCB0C99" w14:textId="71C96F31" w:rsidR="002D6124" w:rsidRPr="00293CD0" w:rsidRDefault="002D6124" w:rsidP="002D6124">
            <w:pPr>
              <w:jc w:val="center"/>
              <w:rPr>
                <w:rFonts w:ascii="Calibri" w:hAnsi="Calibri" w:cs="Calibri"/>
                <w:sz w:val="20"/>
              </w:rPr>
            </w:pPr>
            <w:r>
              <w:rPr>
                <w:rFonts w:ascii="Calibri" w:hAnsi="Calibri" w:cs="Calibri"/>
                <w:sz w:val="20"/>
              </w:rPr>
              <w:t>73%</w:t>
            </w:r>
          </w:p>
        </w:tc>
      </w:tr>
      <w:tr w:rsidR="002D6124" w:rsidRPr="00293CD0" w14:paraId="3FCD375A" w14:textId="77777777" w:rsidTr="00F04F96">
        <w:trPr>
          <w:trHeight w:val="300"/>
        </w:trPr>
        <w:tc>
          <w:tcPr>
            <w:tcW w:w="3050" w:type="dxa"/>
            <w:tcBorders>
              <w:top w:val="nil"/>
              <w:left w:val="single" w:sz="8" w:space="0" w:color="auto"/>
              <w:bottom w:val="single" w:sz="8" w:space="0" w:color="auto"/>
              <w:right w:val="single" w:sz="8" w:space="0" w:color="auto"/>
            </w:tcBorders>
            <w:shd w:val="clear" w:color="auto" w:fill="auto"/>
            <w:noWrap/>
            <w:vAlign w:val="center"/>
            <w:hideMark/>
          </w:tcPr>
          <w:p w14:paraId="06C3F0DF" w14:textId="15455EB4" w:rsidR="002D6124" w:rsidRPr="00293CD0" w:rsidRDefault="002D6124" w:rsidP="002D6124">
            <w:pPr>
              <w:rPr>
                <w:rFonts w:ascii="Calibri" w:hAnsi="Calibri" w:cs="Calibri"/>
                <w:sz w:val="20"/>
              </w:rPr>
            </w:pPr>
            <w:r w:rsidRPr="00293CD0">
              <w:rPr>
                <w:rFonts w:ascii="Calibri" w:hAnsi="Calibri" w:cs="Calibri"/>
                <w:sz w:val="20"/>
              </w:rPr>
              <w:t>Weakest evidence of LAA</w:t>
            </w:r>
          </w:p>
        </w:tc>
        <w:tc>
          <w:tcPr>
            <w:tcW w:w="1571" w:type="dxa"/>
            <w:tcBorders>
              <w:top w:val="nil"/>
              <w:left w:val="nil"/>
              <w:bottom w:val="single" w:sz="8" w:space="0" w:color="auto"/>
              <w:right w:val="single" w:sz="8" w:space="0" w:color="auto"/>
            </w:tcBorders>
            <w:shd w:val="clear" w:color="auto" w:fill="auto"/>
            <w:noWrap/>
            <w:vAlign w:val="center"/>
            <w:hideMark/>
          </w:tcPr>
          <w:p w14:paraId="25FC43D9" w14:textId="529F7983" w:rsidR="002D6124" w:rsidRPr="00293CD0" w:rsidRDefault="002D6124" w:rsidP="002D6124">
            <w:pPr>
              <w:jc w:val="center"/>
              <w:rPr>
                <w:rFonts w:ascii="Calibri" w:hAnsi="Calibri" w:cs="Calibri"/>
                <w:sz w:val="20"/>
              </w:rPr>
            </w:pPr>
            <w:r>
              <w:rPr>
                <w:rFonts w:ascii="Calibri" w:hAnsi="Calibri" w:cs="Calibri"/>
                <w:sz w:val="20"/>
              </w:rPr>
              <w:t>362</w:t>
            </w:r>
          </w:p>
        </w:tc>
        <w:tc>
          <w:tcPr>
            <w:tcW w:w="1497" w:type="dxa"/>
            <w:tcBorders>
              <w:top w:val="nil"/>
              <w:left w:val="nil"/>
              <w:bottom w:val="single" w:sz="8" w:space="0" w:color="auto"/>
              <w:right w:val="single" w:sz="8" w:space="0" w:color="auto"/>
            </w:tcBorders>
            <w:shd w:val="clear" w:color="auto" w:fill="auto"/>
            <w:vAlign w:val="center"/>
            <w:hideMark/>
          </w:tcPr>
          <w:p w14:paraId="59C3B572" w14:textId="293E6E94" w:rsidR="002D6124" w:rsidRPr="00293CD0" w:rsidRDefault="002D6124" w:rsidP="002D6124">
            <w:pPr>
              <w:jc w:val="center"/>
              <w:rPr>
                <w:rFonts w:ascii="Calibri" w:hAnsi="Calibri" w:cs="Calibri"/>
                <w:sz w:val="20"/>
              </w:rPr>
            </w:pPr>
            <w:r>
              <w:rPr>
                <w:rFonts w:ascii="Calibri" w:hAnsi="Calibri" w:cs="Calibri"/>
                <w:sz w:val="20"/>
              </w:rPr>
              <w:t>22%</w:t>
            </w:r>
          </w:p>
        </w:tc>
        <w:tc>
          <w:tcPr>
            <w:tcW w:w="1522" w:type="dxa"/>
            <w:tcBorders>
              <w:top w:val="nil"/>
              <w:left w:val="nil"/>
              <w:bottom w:val="single" w:sz="8" w:space="0" w:color="auto"/>
              <w:right w:val="single" w:sz="8" w:space="0" w:color="auto"/>
            </w:tcBorders>
            <w:shd w:val="clear" w:color="auto" w:fill="auto"/>
            <w:noWrap/>
            <w:vAlign w:val="center"/>
            <w:hideMark/>
          </w:tcPr>
          <w:p w14:paraId="4414B98B" w14:textId="2FBB5330" w:rsidR="002D6124" w:rsidRPr="00293CD0" w:rsidRDefault="002D6124" w:rsidP="002D6124">
            <w:pPr>
              <w:jc w:val="center"/>
              <w:rPr>
                <w:rFonts w:ascii="Calibri" w:hAnsi="Calibri" w:cs="Calibri"/>
                <w:sz w:val="20"/>
              </w:rPr>
            </w:pPr>
            <w:r>
              <w:rPr>
                <w:rFonts w:ascii="Calibri" w:hAnsi="Calibri" w:cs="Calibri"/>
                <w:sz w:val="20"/>
              </w:rPr>
              <w:t>132</w:t>
            </w:r>
          </w:p>
        </w:tc>
        <w:tc>
          <w:tcPr>
            <w:tcW w:w="1710" w:type="dxa"/>
            <w:tcBorders>
              <w:top w:val="nil"/>
              <w:left w:val="nil"/>
              <w:bottom w:val="single" w:sz="8" w:space="0" w:color="auto"/>
              <w:right w:val="single" w:sz="8" w:space="0" w:color="auto"/>
            </w:tcBorders>
            <w:shd w:val="clear" w:color="auto" w:fill="auto"/>
            <w:vAlign w:val="center"/>
            <w:hideMark/>
          </w:tcPr>
          <w:p w14:paraId="6A1EEF3F" w14:textId="1C659619" w:rsidR="002D6124" w:rsidRPr="00293CD0" w:rsidRDefault="002D6124" w:rsidP="002D6124">
            <w:pPr>
              <w:jc w:val="center"/>
              <w:rPr>
                <w:rFonts w:ascii="Calibri" w:hAnsi="Calibri" w:cs="Calibri"/>
                <w:sz w:val="20"/>
              </w:rPr>
            </w:pPr>
            <w:r>
              <w:rPr>
                <w:rFonts w:ascii="Calibri" w:hAnsi="Calibri" w:cs="Calibri"/>
                <w:sz w:val="20"/>
              </w:rPr>
              <w:t>18%</w:t>
            </w:r>
          </w:p>
        </w:tc>
      </w:tr>
    </w:tbl>
    <w:p w14:paraId="65EC4C20" w14:textId="353161AF" w:rsidR="00712AB2" w:rsidRDefault="00712AB2" w:rsidP="00DE6B8A">
      <w:pPr>
        <w:keepNext/>
        <w:rPr>
          <w:noProof/>
          <w:sz w:val="20"/>
          <w:highlight w:val="yellow"/>
        </w:rPr>
      </w:pPr>
    </w:p>
    <w:p w14:paraId="427D4C4B" w14:textId="77777777" w:rsidR="00712AB2" w:rsidRPr="001F7614" w:rsidRDefault="00712AB2" w:rsidP="00DE6B8A">
      <w:pPr>
        <w:keepNext/>
        <w:rPr>
          <w:noProof/>
          <w:sz w:val="20"/>
          <w:highlight w:val="yellow"/>
        </w:rPr>
      </w:pPr>
    </w:p>
    <w:p w14:paraId="12C9FE30" w14:textId="77777777" w:rsidR="001F7614" w:rsidRDefault="001F7614" w:rsidP="001F7614">
      <w:pPr>
        <w:rPr>
          <w:noProof/>
          <w:sz w:val="20"/>
        </w:rPr>
      </w:pPr>
    </w:p>
    <w:p w14:paraId="6A294510" w14:textId="77777777" w:rsidR="001F7614" w:rsidRPr="00634B4C" w:rsidRDefault="001F7614" w:rsidP="001F7614">
      <w:pPr>
        <w:rPr>
          <w:sz w:val="20"/>
          <w:szCs w:val="20"/>
        </w:rPr>
      </w:pPr>
    </w:p>
    <w:p w14:paraId="1E8D93E5" w14:textId="0F654AB4" w:rsidR="00634B4C" w:rsidRPr="00634B4C" w:rsidRDefault="00634B4C" w:rsidP="001F7614">
      <w:pPr>
        <w:rPr>
          <w:sz w:val="20"/>
          <w:szCs w:val="20"/>
        </w:rPr>
      </w:pPr>
    </w:p>
    <w:sectPr w:rsidR="00634B4C" w:rsidRPr="00634B4C" w:rsidSect="001311E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7B594C" w14:textId="77777777" w:rsidR="005805EA" w:rsidRDefault="005805EA" w:rsidP="00330467">
      <w:r>
        <w:separator/>
      </w:r>
    </w:p>
  </w:endnote>
  <w:endnote w:type="continuationSeparator" w:id="0">
    <w:p w14:paraId="24620B18" w14:textId="77777777" w:rsidR="005805EA" w:rsidRDefault="005805EA" w:rsidP="00330467">
      <w:r>
        <w:continuationSeparator/>
      </w:r>
    </w:p>
  </w:endnote>
  <w:endnote w:type="continuationNotice" w:id="1">
    <w:p w14:paraId="04337C67" w14:textId="77777777" w:rsidR="005805EA" w:rsidRDefault="00580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33621"/>
      <w:docPartObj>
        <w:docPartGallery w:val="Page Numbers (Bottom of Page)"/>
        <w:docPartUnique/>
      </w:docPartObj>
    </w:sdtPr>
    <w:sdtEndPr>
      <w:rPr>
        <w:noProof/>
      </w:rPr>
    </w:sdtEndPr>
    <w:sdtContent>
      <w:p w14:paraId="0AAFB633" w14:textId="5BE0AC89" w:rsidR="005805EA" w:rsidRDefault="005805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B6F49F" w14:textId="77777777" w:rsidR="005805EA" w:rsidRDefault="00580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646A" w14:textId="77777777" w:rsidR="005805EA" w:rsidRDefault="005805EA" w:rsidP="00330467">
      <w:r>
        <w:separator/>
      </w:r>
    </w:p>
  </w:footnote>
  <w:footnote w:type="continuationSeparator" w:id="0">
    <w:p w14:paraId="5FA9DC03" w14:textId="77777777" w:rsidR="005805EA" w:rsidRDefault="005805EA" w:rsidP="00330467">
      <w:r>
        <w:continuationSeparator/>
      </w:r>
    </w:p>
  </w:footnote>
  <w:footnote w:type="continuationNotice" w:id="1">
    <w:p w14:paraId="11EB5F0E" w14:textId="77777777" w:rsidR="005805EA" w:rsidRDefault="005805EA"/>
  </w:footnote>
  <w:footnote w:id="2">
    <w:p w14:paraId="67B312AD" w14:textId="77777777" w:rsidR="005805EA" w:rsidRDefault="005805EA" w:rsidP="00D8455E">
      <w:pPr>
        <w:pStyle w:val="FootnoteText"/>
      </w:pPr>
      <w:r>
        <w:rPr>
          <w:rStyle w:val="FootnoteReference"/>
        </w:rPr>
        <w:footnoteRef/>
      </w:r>
      <w:r>
        <w:t xml:space="preserve"> Available at: </w:t>
      </w:r>
      <w:hyperlink r:id="rId1" w:tgtFrame="_blank" w:history="1">
        <w:r>
          <w:rPr>
            <w:rStyle w:val="Hyperlink"/>
            <w:bdr w:val="none" w:sz="0" w:space="0" w:color="auto" w:frame="1"/>
            <w:shd w:val="clear" w:color="auto" w:fill="FFFFFF"/>
          </w:rPr>
          <w:t>https://www.epa.gov/endangered-species/revised-method-national-level-listed-species-biological-evaluations-conventional</w:t>
        </w:r>
      </w:hyperlink>
    </w:p>
  </w:footnote>
  <w:footnote w:id="3">
    <w:p w14:paraId="3685A8B8" w14:textId="77777777" w:rsidR="00CC211E" w:rsidRDefault="00CC211E" w:rsidP="00CC211E">
      <w:pPr>
        <w:pStyle w:val="FootnoteText"/>
      </w:pPr>
      <w:r w:rsidRPr="006461A4">
        <w:rPr>
          <w:rStyle w:val="FootnoteReference"/>
        </w:rPr>
        <w:footnoteRef/>
      </w:r>
      <w:r w:rsidRPr="006461A4">
        <w:t xml:space="preserve"> The exposure models can be found at: </w:t>
      </w:r>
      <w:hyperlink r:id="rId2" w:history="1">
        <w:r w:rsidRPr="006461A4">
          <w:rPr>
            <w:rStyle w:val="Hyperlink"/>
          </w:rPr>
          <w:t>http://www.epa.gov/pesticides/science/models_pg.htm</w:t>
        </w:r>
      </w:hyperlink>
    </w:p>
  </w:footnote>
  <w:footnote w:id="4">
    <w:p w14:paraId="63B8857A" w14:textId="5A73A1FF" w:rsidR="005805EA" w:rsidRPr="00B0796A" w:rsidRDefault="005805EA">
      <w:pPr>
        <w:pStyle w:val="FootnoteText"/>
        <w:rPr>
          <w:rFonts w:asciiTheme="minorHAnsi" w:hAnsiTheme="minorHAnsi" w:cstheme="minorHAnsi"/>
        </w:rPr>
      </w:pPr>
      <w:r w:rsidRPr="00B0796A">
        <w:rPr>
          <w:rStyle w:val="FootnoteReference"/>
          <w:rFonts w:asciiTheme="minorHAnsi" w:hAnsiTheme="minorHAnsi" w:cstheme="minorHAnsi"/>
        </w:rPr>
        <w:footnoteRef/>
      </w:r>
      <w:r w:rsidRPr="00B0796A">
        <w:rPr>
          <w:rFonts w:asciiTheme="minorHAnsi" w:hAnsiTheme="minorHAnsi" w:cstheme="minorHAnsi"/>
        </w:rPr>
        <w:t xml:space="preserve"> USEPA. 2020. </w:t>
      </w:r>
      <w:r w:rsidRPr="00B0796A">
        <w:rPr>
          <w:rFonts w:asciiTheme="minorHAnsi" w:hAnsiTheme="minorHAnsi" w:cstheme="minorHAnsi"/>
          <w:i/>
          <w:iCs/>
        </w:rPr>
        <w:t>Revised Method for National Level Listed Species Biological Evaluations of Conventional Pesticides</w:t>
      </w:r>
      <w:r w:rsidRPr="00B0796A">
        <w:rPr>
          <w:rFonts w:asciiTheme="minorHAnsi" w:hAnsiTheme="minorHAnsi" w:cstheme="minorHAnsi"/>
        </w:rPr>
        <w:t xml:space="preserve">. March 12, 2020. Environmental Fate and Effects Division. Office of Pesticide Programs. U.S. Environmental Protection Agency. Available at </w:t>
      </w:r>
      <w:hyperlink r:id="rId3" w:history="1">
        <w:r w:rsidRPr="00B0796A">
          <w:rPr>
            <w:rStyle w:val="Hyperlink"/>
            <w:rFonts w:asciiTheme="minorHAnsi" w:hAnsiTheme="minorHAnsi" w:cstheme="minorHAnsi"/>
          </w:rPr>
          <w:t>https://www.epa.gov/endangered-species/revised-method-national-level-listed-species-biological-evaluations-conventional</w:t>
        </w:r>
      </w:hyperlink>
      <w:r w:rsidRPr="00B0796A">
        <w:rPr>
          <w:rFonts w:asciiTheme="minorHAnsi" w:hAnsiTheme="minorHAnsi"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D61A4"/>
    <w:multiLevelType w:val="multilevel"/>
    <w:tmpl w:val="C34490E8"/>
    <w:lvl w:ilvl="0">
      <w:start w:val="1"/>
      <w:numFmt w:val="decimal"/>
      <w:pStyle w:val="Heading1"/>
      <w:lvlText w:val="%1"/>
      <w:lvlJc w:val="left"/>
      <w:pPr>
        <w:ind w:left="864" w:hanging="432"/>
      </w:pPr>
    </w:lvl>
    <w:lvl w:ilvl="1">
      <w:start w:val="1"/>
      <w:numFmt w:val="decimal"/>
      <w:pStyle w:val="Heading2"/>
      <w:lvlText w:val="%1.%2"/>
      <w:lvlJc w:val="left"/>
      <w:pPr>
        <w:ind w:left="1008" w:hanging="576"/>
      </w:pPr>
    </w:lvl>
    <w:lvl w:ilvl="2">
      <w:start w:val="1"/>
      <w:numFmt w:val="decimal"/>
      <w:pStyle w:val="Heading3"/>
      <w:lvlText w:val="%1.%2.%3"/>
      <w:lvlJc w:val="left"/>
      <w:pPr>
        <w:ind w:left="1152" w:hanging="720"/>
      </w:pPr>
    </w:lvl>
    <w:lvl w:ilvl="3">
      <w:start w:val="1"/>
      <w:numFmt w:val="decimal"/>
      <w:pStyle w:val="Heading4"/>
      <w:lvlText w:val="%1.%2.%3.%4"/>
      <w:lvlJc w:val="left"/>
      <w:pPr>
        <w:ind w:left="1296" w:hanging="864"/>
      </w:pPr>
    </w:lvl>
    <w:lvl w:ilvl="4">
      <w:start w:val="1"/>
      <w:numFmt w:val="decimal"/>
      <w:pStyle w:val="Heading5"/>
      <w:lvlText w:val="%1.%2.%3.%4.%5"/>
      <w:lvlJc w:val="left"/>
      <w:pPr>
        <w:ind w:left="1440" w:hanging="1008"/>
      </w:pPr>
    </w:lvl>
    <w:lvl w:ilvl="5">
      <w:start w:val="1"/>
      <w:numFmt w:val="decimal"/>
      <w:pStyle w:val="Heading6"/>
      <w:lvlText w:val="%1.%2.%3.%4.%5.%6"/>
      <w:lvlJc w:val="left"/>
      <w:pPr>
        <w:ind w:left="1584" w:hanging="1152"/>
      </w:pPr>
    </w:lvl>
    <w:lvl w:ilvl="6">
      <w:start w:val="1"/>
      <w:numFmt w:val="decimal"/>
      <w:pStyle w:val="Heading7"/>
      <w:lvlText w:val="%1.%2.%3.%4.%5.%6.%7"/>
      <w:lvlJc w:val="left"/>
      <w:pPr>
        <w:ind w:left="1728" w:hanging="1296"/>
      </w:pPr>
    </w:lvl>
    <w:lvl w:ilvl="7">
      <w:start w:val="1"/>
      <w:numFmt w:val="decimal"/>
      <w:pStyle w:val="Heading8"/>
      <w:lvlText w:val="%1.%2.%3.%4.%5.%6.%7.%8"/>
      <w:lvlJc w:val="left"/>
      <w:pPr>
        <w:ind w:left="1872" w:hanging="1440"/>
      </w:pPr>
    </w:lvl>
    <w:lvl w:ilvl="8">
      <w:start w:val="1"/>
      <w:numFmt w:val="decimal"/>
      <w:pStyle w:val="Heading9"/>
      <w:lvlText w:val="%1.%2.%3.%4.%5.%6.%7.%8.%9"/>
      <w:lvlJc w:val="left"/>
      <w:pPr>
        <w:ind w:left="2016" w:hanging="1584"/>
      </w:pPr>
    </w:lvl>
  </w:abstractNum>
  <w:abstractNum w:abstractNumId="1" w15:restartNumberingAfterBreak="0">
    <w:nsid w:val="46A27B4F"/>
    <w:multiLevelType w:val="hybridMultilevel"/>
    <w:tmpl w:val="CACEE1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4250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readOnly" w:enforcement="1" w:cryptProviderType="rsaAES" w:cryptAlgorithmClass="hash" w:cryptAlgorithmType="typeAny" w:cryptAlgorithmSid="14" w:cryptSpinCount="100000" w:hash="W2ezOlup/cnSQWkULjQ3dOGXWMMjChC73lKPf+xZU3PHPOwU24irJKH+dQybwfFlrLmmETQ9v5EkvExNfoaFQQ==" w:salt="1iFmFapxjbvdiOqF1xGjRA=="/>
  <w:defaultTabStop w:val="720"/>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EFEDStyl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endnote2017&lt;record-ids&gt;&lt;item&gt;4542&lt;/item&gt;&lt;/record-ids&gt;&lt;/item&gt;&lt;/Libraries&gt;"/>
  </w:docVars>
  <w:rsids>
    <w:rsidRoot w:val="00330467"/>
    <w:rsid w:val="00003C6F"/>
    <w:rsid w:val="00006AE3"/>
    <w:rsid w:val="000072CB"/>
    <w:rsid w:val="0001757C"/>
    <w:rsid w:val="00023EBD"/>
    <w:rsid w:val="0002673C"/>
    <w:rsid w:val="00030882"/>
    <w:rsid w:val="000324E8"/>
    <w:rsid w:val="00033DB4"/>
    <w:rsid w:val="000347EF"/>
    <w:rsid w:val="000446F0"/>
    <w:rsid w:val="000500CD"/>
    <w:rsid w:val="00052A71"/>
    <w:rsid w:val="000563AF"/>
    <w:rsid w:val="00056C0F"/>
    <w:rsid w:val="00060E8C"/>
    <w:rsid w:val="00065954"/>
    <w:rsid w:val="000677AA"/>
    <w:rsid w:val="00073594"/>
    <w:rsid w:val="00074FBE"/>
    <w:rsid w:val="000807D9"/>
    <w:rsid w:val="000829C5"/>
    <w:rsid w:val="00083B6C"/>
    <w:rsid w:val="00086AA1"/>
    <w:rsid w:val="00092FF0"/>
    <w:rsid w:val="000977FB"/>
    <w:rsid w:val="000A1407"/>
    <w:rsid w:val="000A4725"/>
    <w:rsid w:val="000A575F"/>
    <w:rsid w:val="000B334D"/>
    <w:rsid w:val="000B4CBE"/>
    <w:rsid w:val="000C244B"/>
    <w:rsid w:val="000C6A3E"/>
    <w:rsid w:val="000C7E77"/>
    <w:rsid w:val="000D4CAA"/>
    <w:rsid w:val="000E309A"/>
    <w:rsid w:val="000E6928"/>
    <w:rsid w:val="000F2DC8"/>
    <w:rsid w:val="000F3AF7"/>
    <w:rsid w:val="000F4327"/>
    <w:rsid w:val="0010233C"/>
    <w:rsid w:val="00111382"/>
    <w:rsid w:val="00122436"/>
    <w:rsid w:val="00122E66"/>
    <w:rsid w:val="001232B3"/>
    <w:rsid w:val="00126F63"/>
    <w:rsid w:val="001311E9"/>
    <w:rsid w:val="0013472B"/>
    <w:rsid w:val="00134B79"/>
    <w:rsid w:val="0014269E"/>
    <w:rsid w:val="00143F04"/>
    <w:rsid w:val="001466FC"/>
    <w:rsid w:val="001521D1"/>
    <w:rsid w:val="00154BDA"/>
    <w:rsid w:val="00160A09"/>
    <w:rsid w:val="00160CD1"/>
    <w:rsid w:val="001620A3"/>
    <w:rsid w:val="00171173"/>
    <w:rsid w:val="0017152A"/>
    <w:rsid w:val="00171E4D"/>
    <w:rsid w:val="001726C9"/>
    <w:rsid w:val="00190605"/>
    <w:rsid w:val="001926CA"/>
    <w:rsid w:val="00192708"/>
    <w:rsid w:val="001A3C45"/>
    <w:rsid w:val="001A40B9"/>
    <w:rsid w:val="001A4697"/>
    <w:rsid w:val="001A4F5C"/>
    <w:rsid w:val="001B30FB"/>
    <w:rsid w:val="001C2986"/>
    <w:rsid w:val="001C3796"/>
    <w:rsid w:val="001C4866"/>
    <w:rsid w:val="001C6B2E"/>
    <w:rsid w:val="001C75EE"/>
    <w:rsid w:val="001D4536"/>
    <w:rsid w:val="001D4EB7"/>
    <w:rsid w:val="001E4FD3"/>
    <w:rsid w:val="001E5734"/>
    <w:rsid w:val="001E6F40"/>
    <w:rsid w:val="001E7D6A"/>
    <w:rsid w:val="001F3217"/>
    <w:rsid w:val="001F396E"/>
    <w:rsid w:val="001F7614"/>
    <w:rsid w:val="00203368"/>
    <w:rsid w:val="00204662"/>
    <w:rsid w:val="00204D47"/>
    <w:rsid w:val="00206309"/>
    <w:rsid w:val="0020724D"/>
    <w:rsid w:val="00210CB1"/>
    <w:rsid w:val="002144C9"/>
    <w:rsid w:val="00217285"/>
    <w:rsid w:val="00217C00"/>
    <w:rsid w:val="0022083A"/>
    <w:rsid w:val="00222FD0"/>
    <w:rsid w:val="00225062"/>
    <w:rsid w:val="00226FE7"/>
    <w:rsid w:val="00242799"/>
    <w:rsid w:val="002502CF"/>
    <w:rsid w:val="0025055B"/>
    <w:rsid w:val="00251B86"/>
    <w:rsid w:val="00253286"/>
    <w:rsid w:val="002636EB"/>
    <w:rsid w:val="0026396F"/>
    <w:rsid w:val="0026517A"/>
    <w:rsid w:val="00267E9F"/>
    <w:rsid w:val="002716A0"/>
    <w:rsid w:val="00274175"/>
    <w:rsid w:val="00291476"/>
    <w:rsid w:val="002A0BFE"/>
    <w:rsid w:val="002A4DC1"/>
    <w:rsid w:val="002A7631"/>
    <w:rsid w:val="002B275B"/>
    <w:rsid w:val="002B464E"/>
    <w:rsid w:val="002B49A3"/>
    <w:rsid w:val="002B59D7"/>
    <w:rsid w:val="002C0321"/>
    <w:rsid w:val="002C2ECC"/>
    <w:rsid w:val="002C401D"/>
    <w:rsid w:val="002C4CFD"/>
    <w:rsid w:val="002C5413"/>
    <w:rsid w:val="002C761B"/>
    <w:rsid w:val="002D139E"/>
    <w:rsid w:val="002D2A52"/>
    <w:rsid w:val="002D6124"/>
    <w:rsid w:val="002E01CF"/>
    <w:rsid w:val="002E0DA6"/>
    <w:rsid w:val="002F0C39"/>
    <w:rsid w:val="002F0ED3"/>
    <w:rsid w:val="002F155F"/>
    <w:rsid w:val="002F4C9D"/>
    <w:rsid w:val="002F6F7A"/>
    <w:rsid w:val="00303446"/>
    <w:rsid w:val="00303775"/>
    <w:rsid w:val="00303C39"/>
    <w:rsid w:val="00310D68"/>
    <w:rsid w:val="00310F57"/>
    <w:rsid w:val="00312480"/>
    <w:rsid w:val="00312DD7"/>
    <w:rsid w:val="00323F48"/>
    <w:rsid w:val="0033021F"/>
    <w:rsid w:val="00330467"/>
    <w:rsid w:val="00330580"/>
    <w:rsid w:val="003415BC"/>
    <w:rsid w:val="0035065E"/>
    <w:rsid w:val="0035147F"/>
    <w:rsid w:val="00351C75"/>
    <w:rsid w:val="00353477"/>
    <w:rsid w:val="00354E8A"/>
    <w:rsid w:val="00374D1B"/>
    <w:rsid w:val="003819F0"/>
    <w:rsid w:val="003873C0"/>
    <w:rsid w:val="00393A4D"/>
    <w:rsid w:val="00396370"/>
    <w:rsid w:val="003A6483"/>
    <w:rsid w:val="003A7270"/>
    <w:rsid w:val="003B252C"/>
    <w:rsid w:val="003B2CCB"/>
    <w:rsid w:val="003B4B31"/>
    <w:rsid w:val="003B4B69"/>
    <w:rsid w:val="003B5F9B"/>
    <w:rsid w:val="003B6C80"/>
    <w:rsid w:val="003B6FF6"/>
    <w:rsid w:val="003C0A97"/>
    <w:rsid w:val="003C3423"/>
    <w:rsid w:val="003C6E81"/>
    <w:rsid w:val="003D3716"/>
    <w:rsid w:val="003D472D"/>
    <w:rsid w:val="003D63A9"/>
    <w:rsid w:val="003D74AE"/>
    <w:rsid w:val="003E040D"/>
    <w:rsid w:val="003F0BF1"/>
    <w:rsid w:val="003F770C"/>
    <w:rsid w:val="00402439"/>
    <w:rsid w:val="00415354"/>
    <w:rsid w:val="00416CC9"/>
    <w:rsid w:val="00421756"/>
    <w:rsid w:val="00421D2C"/>
    <w:rsid w:val="00424A3F"/>
    <w:rsid w:val="00433D9E"/>
    <w:rsid w:val="004344EE"/>
    <w:rsid w:val="004406D6"/>
    <w:rsid w:val="00441872"/>
    <w:rsid w:val="00442D91"/>
    <w:rsid w:val="0044391F"/>
    <w:rsid w:val="00445F3F"/>
    <w:rsid w:val="0045224D"/>
    <w:rsid w:val="00457E1B"/>
    <w:rsid w:val="00465462"/>
    <w:rsid w:val="004669A2"/>
    <w:rsid w:val="00467636"/>
    <w:rsid w:val="00467DA9"/>
    <w:rsid w:val="00467F27"/>
    <w:rsid w:val="00474A82"/>
    <w:rsid w:val="00474F88"/>
    <w:rsid w:val="00477FD7"/>
    <w:rsid w:val="00483026"/>
    <w:rsid w:val="00484D23"/>
    <w:rsid w:val="004861E1"/>
    <w:rsid w:val="00486AA8"/>
    <w:rsid w:val="00487A73"/>
    <w:rsid w:val="004A40CE"/>
    <w:rsid w:val="004A5288"/>
    <w:rsid w:val="004B3B03"/>
    <w:rsid w:val="004B4A43"/>
    <w:rsid w:val="004B6CC4"/>
    <w:rsid w:val="004B7AC3"/>
    <w:rsid w:val="004C5C58"/>
    <w:rsid w:val="004C66F1"/>
    <w:rsid w:val="004D0F93"/>
    <w:rsid w:val="004D1BDC"/>
    <w:rsid w:val="004D5517"/>
    <w:rsid w:val="004E2E0F"/>
    <w:rsid w:val="004E3D6B"/>
    <w:rsid w:val="004F3CBE"/>
    <w:rsid w:val="004F65C6"/>
    <w:rsid w:val="004F7FAF"/>
    <w:rsid w:val="00504FC6"/>
    <w:rsid w:val="00507E9A"/>
    <w:rsid w:val="005120B0"/>
    <w:rsid w:val="005235EC"/>
    <w:rsid w:val="00525490"/>
    <w:rsid w:val="005267CA"/>
    <w:rsid w:val="00545971"/>
    <w:rsid w:val="00546A2E"/>
    <w:rsid w:val="00546DD1"/>
    <w:rsid w:val="00547D02"/>
    <w:rsid w:val="00550153"/>
    <w:rsid w:val="00555EFB"/>
    <w:rsid w:val="005632D1"/>
    <w:rsid w:val="005721BD"/>
    <w:rsid w:val="005760B5"/>
    <w:rsid w:val="005805EA"/>
    <w:rsid w:val="005807A5"/>
    <w:rsid w:val="00580A2F"/>
    <w:rsid w:val="00592F7A"/>
    <w:rsid w:val="005949FD"/>
    <w:rsid w:val="00596AC4"/>
    <w:rsid w:val="005A2C5D"/>
    <w:rsid w:val="005A7E2E"/>
    <w:rsid w:val="005B5236"/>
    <w:rsid w:val="005B6BF3"/>
    <w:rsid w:val="005B73D0"/>
    <w:rsid w:val="005C180C"/>
    <w:rsid w:val="005C4C21"/>
    <w:rsid w:val="005C5690"/>
    <w:rsid w:val="005D04D6"/>
    <w:rsid w:val="005D1BFA"/>
    <w:rsid w:val="005E50A2"/>
    <w:rsid w:val="005E521C"/>
    <w:rsid w:val="005E53CB"/>
    <w:rsid w:val="005E7ABB"/>
    <w:rsid w:val="006008C7"/>
    <w:rsid w:val="00607C24"/>
    <w:rsid w:val="006108EC"/>
    <w:rsid w:val="0061209B"/>
    <w:rsid w:val="006123E4"/>
    <w:rsid w:val="00613A27"/>
    <w:rsid w:val="00613B2B"/>
    <w:rsid w:val="00614514"/>
    <w:rsid w:val="0061478A"/>
    <w:rsid w:val="00615336"/>
    <w:rsid w:val="006153F1"/>
    <w:rsid w:val="00615B53"/>
    <w:rsid w:val="00623D7B"/>
    <w:rsid w:val="00624D1B"/>
    <w:rsid w:val="00634B4C"/>
    <w:rsid w:val="00641ABE"/>
    <w:rsid w:val="00645EC3"/>
    <w:rsid w:val="006722F0"/>
    <w:rsid w:val="00672413"/>
    <w:rsid w:val="00673C2B"/>
    <w:rsid w:val="00674268"/>
    <w:rsid w:val="00675167"/>
    <w:rsid w:val="006837D9"/>
    <w:rsid w:val="00687E59"/>
    <w:rsid w:val="00690594"/>
    <w:rsid w:val="00690822"/>
    <w:rsid w:val="006A2247"/>
    <w:rsid w:val="006A445C"/>
    <w:rsid w:val="006B2641"/>
    <w:rsid w:val="006B26A2"/>
    <w:rsid w:val="006B5C3A"/>
    <w:rsid w:val="006B7254"/>
    <w:rsid w:val="006D0523"/>
    <w:rsid w:val="006D75E4"/>
    <w:rsid w:val="006E289F"/>
    <w:rsid w:val="006E63AB"/>
    <w:rsid w:val="006E7D61"/>
    <w:rsid w:val="006F28F5"/>
    <w:rsid w:val="006F4EA6"/>
    <w:rsid w:val="006F62E6"/>
    <w:rsid w:val="00706A9D"/>
    <w:rsid w:val="00712AB2"/>
    <w:rsid w:val="00714D28"/>
    <w:rsid w:val="007166BF"/>
    <w:rsid w:val="0071784E"/>
    <w:rsid w:val="007179AF"/>
    <w:rsid w:val="00717C3E"/>
    <w:rsid w:val="00720C1B"/>
    <w:rsid w:val="00722DCA"/>
    <w:rsid w:val="007256EF"/>
    <w:rsid w:val="00733A4C"/>
    <w:rsid w:val="007355D7"/>
    <w:rsid w:val="007364BF"/>
    <w:rsid w:val="007400FE"/>
    <w:rsid w:val="00743F08"/>
    <w:rsid w:val="00747456"/>
    <w:rsid w:val="007505C3"/>
    <w:rsid w:val="00761978"/>
    <w:rsid w:val="00763A4C"/>
    <w:rsid w:val="007655CF"/>
    <w:rsid w:val="007667F0"/>
    <w:rsid w:val="0077570A"/>
    <w:rsid w:val="00775F47"/>
    <w:rsid w:val="00783261"/>
    <w:rsid w:val="00783B1B"/>
    <w:rsid w:val="00784B2B"/>
    <w:rsid w:val="00785131"/>
    <w:rsid w:val="0078696F"/>
    <w:rsid w:val="00791137"/>
    <w:rsid w:val="007917C1"/>
    <w:rsid w:val="00793EFF"/>
    <w:rsid w:val="007A08FA"/>
    <w:rsid w:val="007A6A83"/>
    <w:rsid w:val="007B1067"/>
    <w:rsid w:val="007B79A6"/>
    <w:rsid w:val="007B7CA3"/>
    <w:rsid w:val="007C0A56"/>
    <w:rsid w:val="007C0A6E"/>
    <w:rsid w:val="007C274A"/>
    <w:rsid w:val="007D6193"/>
    <w:rsid w:val="007D7E49"/>
    <w:rsid w:val="007E5095"/>
    <w:rsid w:val="007E6AE0"/>
    <w:rsid w:val="007E7809"/>
    <w:rsid w:val="007F10B7"/>
    <w:rsid w:val="007F332A"/>
    <w:rsid w:val="007F7A2E"/>
    <w:rsid w:val="00802603"/>
    <w:rsid w:val="00804152"/>
    <w:rsid w:val="00822B4E"/>
    <w:rsid w:val="0082687E"/>
    <w:rsid w:val="008322C6"/>
    <w:rsid w:val="00835D23"/>
    <w:rsid w:val="00835E8A"/>
    <w:rsid w:val="00836465"/>
    <w:rsid w:val="008409A0"/>
    <w:rsid w:val="00856C0A"/>
    <w:rsid w:val="00861834"/>
    <w:rsid w:val="00867F6F"/>
    <w:rsid w:val="008722AF"/>
    <w:rsid w:val="00872545"/>
    <w:rsid w:val="00872BD7"/>
    <w:rsid w:val="00875818"/>
    <w:rsid w:val="00877954"/>
    <w:rsid w:val="00890ADD"/>
    <w:rsid w:val="00893971"/>
    <w:rsid w:val="00893E03"/>
    <w:rsid w:val="008A10CB"/>
    <w:rsid w:val="008A5E41"/>
    <w:rsid w:val="008C5566"/>
    <w:rsid w:val="008D1C96"/>
    <w:rsid w:val="008D449E"/>
    <w:rsid w:val="008F2C2D"/>
    <w:rsid w:val="008F32E8"/>
    <w:rsid w:val="008F3EFA"/>
    <w:rsid w:val="008F4386"/>
    <w:rsid w:val="008F51AB"/>
    <w:rsid w:val="008F522B"/>
    <w:rsid w:val="0090266C"/>
    <w:rsid w:val="009119E9"/>
    <w:rsid w:val="00916F11"/>
    <w:rsid w:val="009174AE"/>
    <w:rsid w:val="00923AD3"/>
    <w:rsid w:val="00925B29"/>
    <w:rsid w:val="009269B6"/>
    <w:rsid w:val="00930D5F"/>
    <w:rsid w:val="009325C0"/>
    <w:rsid w:val="00932D15"/>
    <w:rsid w:val="009341F6"/>
    <w:rsid w:val="00937150"/>
    <w:rsid w:val="00943861"/>
    <w:rsid w:val="009440C1"/>
    <w:rsid w:val="0094491F"/>
    <w:rsid w:val="009630C0"/>
    <w:rsid w:val="00966889"/>
    <w:rsid w:val="00971428"/>
    <w:rsid w:val="00972637"/>
    <w:rsid w:val="00976CFB"/>
    <w:rsid w:val="00982D77"/>
    <w:rsid w:val="0098319A"/>
    <w:rsid w:val="009848DB"/>
    <w:rsid w:val="009907B9"/>
    <w:rsid w:val="009A5892"/>
    <w:rsid w:val="009B23D5"/>
    <w:rsid w:val="009C04B2"/>
    <w:rsid w:val="009C08CE"/>
    <w:rsid w:val="009C68AE"/>
    <w:rsid w:val="009C6D8E"/>
    <w:rsid w:val="009D1AFB"/>
    <w:rsid w:val="009D3DB3"/>
    <w:rsid w:val="009D72A8"/>
    <w:rsid w:val="00A00EE6"/>
    <w:rsid w:val="00A048A0"/>
    <w:rsid w:val="00A05EF2"/>
    <w:rsid w:val="00A06212"/>
    <w:rsid w:val="00A10424"/>
    <w:rsid w:val="00A250EC"/>
    <w:rsid w:val="00A2710C"/>
    <w:rsid w:val="00A27315"/>
    <w:rsid w:val="00A309AC"/>
    <w:rsid w:val="00A34D82"/>
    <w:rsid w:val="00A4112C"/>
    <w:rsid w:val="00A47034"/>
    <w:rsid w:val="00A47677"/>
    <w:rsid w:val="00A52C4E"/>
    <w:rsid w:val="00A63BEF"/>
    <w:rsid w:val="00A64A60"/>
    <w:rsid w:val="00A64CC1"/>
    <w:rsid w:val="00A70773"/>
    <w:rsid w:val="00A77451"/>
    <w:rsid w:val="00A80427"/>
    <w:rsid w:val="00A918B9"/>
    <w:rsid w:val="00A953F6"/>
    <w:rsid w:val="00A95B31"/>
    <w:rsid w:val="00AA06FB"/>
    <w:rsid w:val="00AB0C37"/>
    <w:rsid w:val="00AB5B88"/>
    <w:rsid w:val="00AB7C89"/>
    <w:rsid w:val="00AD4289"/>
    <w:rsid w:val="00AD5886"/>
    <w:rsid w:val="00AE15F1"/>
    <w:rsid w:val="00AE2152"/>
    <w:rsid w:val="00AE52D0"/>
    <w:rsid w:val="00AF4B48"/>
    <w:rsid w:val="00AF4EE9"/>
    <w:rsid w:val="00B00553"/>
    <w:rsid w:val="00B013DF"/>
    <w:rsid w:val="00B01EBB"/>
    <w:rsid w:val="00B0796A"/>
    <w:rsid w:val="00B12E44"/>
    <w:rsid w:val="00B14E21"/>
    <w:rsid w:val="00B1575D"/>
    <w:rsid w:val="00B32975"/>
    <w:rsid w:val="00B32F80"/>
    <w:rsid w:val="00B36A79"/>
    <w:rsid w:val="00B41EAE"/>
    <w:rsid w:val="00B602A1"/>
    <w:rsid w:val="00B623C4"/>
    <w:rsid w:val="00B71260"/>
    <w:rsid w:val="00B72B5B"/>
    <w:rsid w:val="00B732A0"/>
    <w:rsid w:val="00B77EA4"/>
    <w:rsid w:val="00B82310"/>
    <w:rsid w:val="00B85C2A"/>
    <w:rsid w:val="00B91F3F"/>
    <w:rsid w:val="00B932FF"/>
    <w:rsid w:val="00B9476C"/>
    <w:rsid w:val="00BA0DBE"/>
    <w:rsid w:val="00BA5F89"/>
    <w:rsid w:val="00BB0C2D"/>
    <w:rsid w:val="00BB1A70"/>
    <w:rsid w:val="00BB3F4E"/>
    <w:rsid w:val="00BB4937"/>
    <w:rsid w:val="00BB5F7C"/>
    <w:rsid w:val="00BC1486"/>
    <w:rsid w:val="00BC7AF6"/>
    <w:rsid w:val="00BD5C3E"/>
    <w:rsid w:val="00BD61C4"/>
    <w:rsid w:val="00BE19AB"/>
    <w:rsid w:val="00BE2F82"/>
    <w:rsid w:val="00BE70F9"/>
    <w:rsid w:val="00BE7466"/>
    <w:rsid w:val="00BF34F1"/>
    <w:rsid w:val="00BF4DBD"/>
    <w:rsid w:val="00BF577E"/>
    <w:rsid w:val="00C01C9E"/>
    <w:rsid w:val="00C01E44"/>
    <w:rsid w:val="00C056AC"/>
    <w:rsid w:val="00C06BE5"/>
    <w:rsid w:val="00C1079F"/>
    <w:rsid w:val="00C13650"/>
    <w:rsid w:val="00C17A63"/>
    <w:rsid w:val="00C20F1A"/>
    <w:rsid w:val="00C21087"/>
    <w:rsid w:val="00C22250"/>
    <w:rsid w:val="00C227C7"/>
    <w:rsid w:val="00C25C01"/>
    <w:rsid w:val="00C3016B"/>
    <w:rsid w:val="00C340DE"/>
    <w:rsid w:val="00C40778"/>
    <w:rsid w:val="00C41195"/>
    <w:rsid w:val="00C41D89"/>
    <w:rsid w:val="00C57F9E"/>
    <w:rsid w:val="00C633D9"/>
    <w:rsid w:val="00C700FB"/>
    <w:rsid w:val="00C72EBE"/>
    <w:rsid w:val="00C74F6B"/>
    <w:rsid w:val="00C7543E"/>
    <w:rsid w:val="00C7566C"/>
    <w:rsid w:val="00C76A8B"/>
    <w:rsid w:val="00C8016A"/>
    <w:rsid w:val="00C8066C"/>
    <w:rsid w:val="00C85ED0"/>
    <w:rsid w:val="00C9564C"/>
    <w:rsid w:val="00CA023E"/>
    <w:rsid w:val="00CA28EF"/>
    <w:rsid w:val="00CA4CDB"/>
    <w:rsid w:val="00CA6424"/>
    <w:rsid w:val="00CB23DA"/>
    <w:rsid w:val="00CC211E"/>
    <w:rsid w:val="00CC2634"/>
    <w:rsid w:val="00CC3277"/>
    <w:rsid w:val="00CC3B65"/>
    <w:rsid w:val="00CC664F"/>
    <w:rsid w:val="00CD3692"/>
    <w:rsid w:val="00CD7579"/>
    <w:rsid w:val="00CE0987"/>
    <w:rsid w:val="00CE1C66"/>
    <w:rsid w:val="00CE3D42"/>
    <w:rsid w:val="00CF1313"/>
    <w:rsid w:val="00CF21A2"/>
    <w:rsid w:val="00CF3F0F"/>
    <w:rsid w:val="00D0050C"/>
    <w:rsid w:val="00D013AE"/>
    <w:rsid w:val="00D021E3"/>
    <w:rsid w:val="00D1256E"/>
    <w:rsid w:val="00D12DB0"/>
    <w:rsid w:val="00D15940"/>
    <w:rsid w:val="00D23232"/>
    <w:rsid w:val="00D40751"/>
    <w:rsid w:val="00D467CD"/>
    <w:rsid w:val="00D6321B"/>
    <w:rsid w:val="00D64F94"/>
    <w:rsid w:val="00D70B7B"/>
    <w:rsid w:val="00D72DE9"/>
    <w:rsid w:val="00D764C0"/>
    <w:rsid w:val="00D768C5"/>
    <w:rsid w:val="00D8211E"/>
    <w:rsid w:val="00D8455E"/>
    <w:rsid w:val="00D853B2"/>
    <w:rsid w:val="00D8647A"/>
    <w:rsid w:val="00D907E8"/>
    <w:rsid w:val="00D93717"/>
    <w:rsid w:val="00D9375E"/>
    <w:rsid w:val="00DA6892"/>
    <w:rsid w:val="00DB0394"/>
    <w:rsid w:val="00DB5E5D"/>
    <w:rsid w:val="00DB634B"/>
    <w:rsid w:val="00DC04D5"/>
    <w:rsid w:val="00DD01A0"/>
    <w:rsid w:val="00DD4803"/>
    <w:rsid w:val="00DE53A2"/>
    <w:rsid w:val="00DE6B8A"/>
    <w:rsid w:val="00DE73D0"/>
    <w:rsid w:val="00DF03C3"/>
    <w:rsid w:val="00E0039A"/>
    <w:rsid w:val="00E004E7"/>
    <w:rsid w:val="00E06F80"/>
    <w:rsid w:val="00E13CCA"/>
    <w:rsid w:val="00E16B87"/>
    <w:rsid w:val="00E17D6B"/>
    <w:rsid w:val="00E346D7"/>
    <w:rsid w:val="00E35815"/>
    <w:rsid w:val="00E37BA2"/>
    <w:rsid w:val="00E61DA7"/>
    <w:rsid w:val="00E64426"/>
    <w:rsid w:val="00E64B75"/>
    <w:rsid w:val="00E64C9B"/>
    <w:rsid w:val="00E8546B"/>
    <w:rsid w:val="00E8685E"/>
    <w:rsid w:val="00E91586"/>
    <w:rsid w:val="00EA463C"/>
    <w:rsid w:val="00EA65DD"/>
    <w:rsid w:val="00EB2B80"/>
    <w:rsid w:val="00EB33B0"/>
    <w:rsid w:val="00EB37E2"/>
    <w:rsid w:val="00EB4EC3"/>
    <w:rsid w:val="00EB7F74"/>
    <w:rsid w:val="00EC5E1A"/>
    <w:rsid w:val="00ED0D37"/>
    <w:rsid w:val="00ED345A"/>
    <w:rsid w:val="00ED435E"/>
    <w:rsid w:val="00ED45B2"/>
    <w:rsid w:val="00ED538A"/>
    <w:rsid w:val="00ED61F5"/>
    <w:rsid w:val="00ED79AF"/>
    <w:rsid w:val="00EE1292"/>
    <w:rsid w:val="00EF15D2"/>
    <w:rsid w:val="00F02672"/>
    <w:rsid w:val="00F03042"/>
    <w:rsid w:val="00F04F96"/>
    <w:rsid w:val="00F06B22"/>
    <w:rsid w:val="00F06D51"/>
    <w:rsid w:val="00F2655D"/>
    <w:rsid w:val="00F419A0"/>
    <w:rsid w:val="00F41F3A"/>
    <w:rsid w:val="00F42297"/>
    <w:rsid w:val="00F45B82"/>
    <w:rsid w:val="00F50985"/>
    <w:rsid w:val="00F53333"/>
    <w:rsid w:val="00F55E85"/>
    <w:rsid w:val="00F60E0D"/>
    <w:rsid w:val="00F67DCD"/>
    <w:rsid w:val="00F76E5A"/>
    <w:rsid w:val="00F83E96"/>
    <w:rsid w:val="00F84644"/>
    <w:rsid w:val="00F84F72"/>
    <w:rsid w:val="00F97AFB"/>
    <w:rsid w:val="00FA3E72"/>
    <w:rsid w:val="00FA58A7"/>
    <w:rsid w:val="00FA7985"/>
    <w:rsid w:val="00FB02F3"/>
    <w:rsid w:val="00FC5424"/>
    <w:rsid w:val="00FC7AB0"/>
    <w:rsid w:val="00FD62B2"/>
    <w:rsid w:val="00FE10F3"/>
    <w:rsid w:val="00FE2D84"/>
    <w:rsid w:val="00FF367E"/>
    <w:rsid w:val="00FF546A"/>
    <w:rsid w:val="00FF56A7"/>
    <w:rsid w:val="0193C649"/>
    <w:rsid w:val="01D7F2EF"/>
    <w:rsid w:val="02340981"/>
    <w:rsid w:val="04C18147"/>
    <w:rsid w:val="052CB8DD"/>
    <w:rsid w:val="0A0B104C"/>
    <w:rsid w:val="0EDCD382"/>
    <w:rsid w:val="0FBB8851"/>
    <w:rsid w:val="10BB1662"/>
    <w:rsid w:val="12CF1788"/>
    <w:rsid w:val="152F23E9"/>
    <w:rsid w:val="1606944C"/>
    <w:rsid w:val="1606F86B"/>
    <w:rsid w:val="174364C4"/>
    <w:rsid w:val="19940965"/>
    <w:rsid w:val="1B4ED41B"/>
    <w:rsid w:val="25EBD91D"/>
    <w:rsid w:val="2993B6AA"/>
    <w:rsid w:val="2D772EC3"/>
    <w:rsid w:val="2F5BDD6C"/>
    <w:rsid w:val="35C126E7"/>
    <w:rsid w:val="35E674C1"/>
    <w:rsid w:val="366E7CB3"/>
    <w:rsid w:val="373C9264"/>
    <w:rsid w:val="38324016"/>
    <w:rsid w:val="39EE8972"/>
    <w:rsid w:val="3BC7F326"/>
    <w:rsid w:val="3EEB4437"/>
    <w:rsid w:val="41EAB5D7"/>
    <w:rsid w:val="44945A20"/>
    <w:rsid w:val="455906F6"/>
    <w:rsid w:val="49255E3F"/>
    <w:rsid w:val="49525BC1"/>
    <w:rsid w:val="4F8B6F6C"/>
    <w:rsid w:val="517F4AD8"/>
    <w:rsid w:val="5492847D"/>
    <w:rsid w:val="565F93CC"/>
    <w:rsid w:val="56DE1452"/>
    <w:rsid w:val="575D139D"/>
    <w:rsid w:val="578E0F46"/>
    <w:rsid w:val="59EA4E0D"/>
    <w:rsid w:val="5A6DB56F"/>
    <w:rsid w:val="5EFB5A15"/>
    <w:rsid w:val="604A914E"/>
    <w:rsid w:val="631489EC"/>
    <w:rsid w:val="65E3DD99"/>
    <w:rsid w:val="6B15B60D"/>
    <w:rsid w:val="6D180E23"/>
    <w:rsid w:val="6EBD6822"/>
    <w:rsid w:val="7225AFEC"/>
    <w:rsid w:val="78A29DB9"/>
    <w:rsid w:val="78A5C351"/>
    <w:rsid w:val="79C84E7D"/>
    <w:rsid w:val="7E6B681F"/>
    <w:rsid w:val="7F871EA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F75038"/>
  <w15:docId w15:val="{E60679A2-C924-4B20-AEB0-67B4D70C1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266C"/>
    <w:pPr>
      <w:keepNext/>
      <w:keepLines/>
      <w:numPr>
        <w:numId w:val="3"/>
      </w:numPr>
      <w:ind w:left="450" w:hanging="450"/>
      <w:outlineLvl w:val="0"/>
    </w:pPr>
    <w:rPr>
      <w:rFonts w:eastAsiaTheme="majorEastAsia" w:cstheme="minorHAnsi"/>
      <w:color w:val="2E74B5" w:themeColor="accent1" w:themeShade="BF"/>
      <w:sz w:val="24"/>
      <w:szCs w:val="24"/>
    </w:rPr>
  </w:style>
  <w:style w:type="paragraph" w:styleId="Heading2">
    <w:name w:val="heading 2"/>
    <w:basedOn w:val="Normal"/>
    <w:next w:val="Normal"/>
    <w:link w:val="Heading2Char"/>
    <w:uiPriority w:val="9"/>
    <w:unhideWhenUsed/>
    <w:qFormat/>
    <w:rsid w:val="008D1C96"/>
    <w:pPr>
      <w:keepNext/>
      <w:keepLines/>
      <w:numPr>
        <w:ilvl w:val="1"/>
        <w:numId w:val="3"/>
      </w:numPr>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06F80"/>
    <w:pPr>
      <w:keepNext/>
      <w:keepLines/>
      <w:numPr>
        <w:ilvl w:val="2"/>
        <w:numId w:val="3"/>
      </w:numPr>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E06F80"/>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06F80"/>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06F80"/>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06F80"/>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06F8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06F8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30467"/>
    <w:rPr>
      <w:rFonts w:ascii="Calibri" w:eastAsia="Calibri" w:hAnsi="Calibri" w:cs="Calibri"/>
      <w:color w:val="000000"/>
      <w:sz w:val="20"/>
      <w:szCs w:val="20"/>
    </w:rPr>
  </w:style>
  <w:style w:type="character" w:customStyle="1" w:styleId="FootnoteTextChar">
    <w:name w:val="Footnote Text Char"/>
    <w:basedOn w:val="DefaultParagraphFont"/>
    <w:link w:val="FootnoteText"/>
    <w:uiPriority w:val="99"/>
    <w:rsid w:val="00330467"/>
    <w:rPr>
      <w:rFonts w:ascii="Calibri" w:eastAsia="Calibri" w:hAnsi="Calibri" w:cs="Calibri"/>
      <w:color w:val="000000"/>
      <w:sz w:val="20"/>
      <w:szCs w:val="20"/>
    </w:rPr>
  </w:style>
  <w:style w:type="character" w:styleId="FootnoteReference">
    <w:name w:val="footnote reference"/>
    <w:basedOn w:val="DefaultParagraphFont"/>
    <w:unhideWhenUsed/>
    <w:rsid w:val="00330467"/>
    <w:rPr>
      <w:vertAlign w:val="superscript"/>
    </w:rPr>
  </w:style>
  <w:style w:type="character" w:styleId="Hyperlink">
    <w:name w:val="Hyperlink"/>
    <w:basedOn w:val="DefaultParagraphFont"/>
    <w:uiPriority w:val="99"/>
    <w:unhideWhenUsed/>
    <w:rsid w:val="00126F63"/>
    <w:rPr>
      <w:color w:val="0563C1" w:themeColor="hyperlink"/>
      <w:u w:val="single"/>
    </w:rPr>
  </w:style>
  <w:style w:type="table" w:styleId="TableGrid">
    <w:name w:val="Table Grid"/>
    <w:aliases w:val="Signature Table"/>
    <w:basedOn w:val="TableNormal"/>
    <w:uiPriority w:val="39"/>
    <w:rsid w:val="001023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52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236"/>
    <w:rPr>
      <w:rFonts w:ascii="Segoe UI" w:hAnsi="Segoe UI" w:cs="Segoe UI"/>
      <w:sz w:val="18"/>
      <w:szCs w:val="18"/>
    </w:rPr>
  </w:style>
  <w:style w:type="character" w:styleId="CommentReference">
    <w:name w:val="annotation reference"/>
    <w:basedOn w:val="DefaultParagraphFont"/>
    <w:uiPriority w:val="99"/>
    <w:semiHidden/>
    <w:unhideWhenUsed/>
    <w:rsid w:val="005B5236"/>
    <w:rPr>
      <w:sz w:val="16"/>
      <w:szCs w:val="16"/>
    </w:rPr>
  </w:style>
  <w:style w:type="paragraph" w:styleId="CommentText">
    <w:name w:val="annotation text"/>
    <w:basedOn w:val="Normal"/>
    <w:link w:val="CommentTextChar"/>
    <w:uiPriority w:val="99"/>
    <w:unhideWhenUsed/>
    <w:rsid w:val="005B5236"/>
    <w:rPr>
      <w:sz w:val="20"/>
      <w:szCs w:val="20"/>
    </w:rPr>
  </w:style>
  <w:style w:type="character" w:customStyle="1" w:styleId="CommentTextChar">
    <w:name w:val="Comment Text Char"/>
    <w:basedOn w:val="DefaultParagraphFont"/>
    <w:link w:val="CommentText"/>
    <w:uiPriority w:val="99"/>
    <w:rsid w:val="005B5236"/>
    <w:rPr>
      <w:sz w:val="20"/>
      <w:szCs w:val="20"/>
    </w:rPr>
  </w:style>
  <w:style w:type="paragraph" w:styleId="CommentSubject">
    <w:name w:val="annotation subject"/>
    <w:basedOn w:val="CommentText"/>
    <w:next w:val="CommentText"/>
    <w:link w:val="CommentSubjectChar"/>
    <w:uiPriority w:val="99"/>
    <w:semiHidden/>
    <w:unhideWhenUsed/>
    <w:rsid w:val="005B5236"/>
    <w:rPr>
      <w:b/>
      <w:bCs/>
    </w:rPr>
  </w:style>
  <w:style w:type="character" w:customStyle="1" w:styleId="CommentSubjectChar">
    <w:name w:val="Comment Subject Char"/>
    <w:basedOn w:val="CommentTextChar"/>
    <w:link w:val="CommentSubject"/>
    <w:uiPriority w:val="99"/>
    <w:semiHidden/>
    <w:rsid w:val="005B5236"/>
    <w:rPr>
      <w:b/>
      <w:bCs/>
      <w:sz w:val="20"/>
      <w:szCs w:val="20"/>
    </w:rPr>
  </w:style>
  <w:style w:type="paragraph" w:styleId="ListParagraph">
    <w:name w:val="List Paragraph"/>
    <w:basedOn w:val="Normal"/>
    <w:uiPriority w:val="34"/>
    <w:qFormat/>
    <w:rsid w:val="003B6FF6"/>
    <w:pPr>
      <w:spacing w:after="160" w:line="259" w:lineRule="auto"/>
      <w:ind w:left="720"/>
      <w:contextualSpacing/>
    </w:pPr>
  </w:style>
  <w:style w:type="paragraph" w:styleId="Header">
    <w:name w:val="header"/>
    <w:basedOn w:val="Normal"/>
    <w:link w:val="HeaderChar"/>
    <w:uiPriority w:val="99"/>
    <w:unhideWhenUsed/>
    <w:rsid w:val="003B6FF6"/>
    <w:pPr>
      <w:tabs>
        <w:tab w:val="center" w:pos="4680"/>
        <w:tab w:val="right" w:pos="9360"/>
      </w:tabs>
    </w:pPr>
  </w:style>
  <w:style w:type="character" w:customStyle="1" w:styleId="HeaderChar">
    <w:name w:val="Header Char"/>
    <w:basedOn w:val="DefaultParagraphFont"/>
    <w:link w:val="Header"/>
    <w:uiPriority w:val="99"/>
    <w:rsid w:val="003B6FF6"/>
  </w:style>
  <w:style w:type="paragraph" w:styleId="Footer">
    <w:name w:val="footer"/>
    <w:basedOn w:val="Normal"/>
    <w:link w:val="FooterChar"/>
    <w:uiPriority w:val="99"/>
    <w:unhideWhenUsed/>
    <w:rsid w:val="003B6FF6"/>
    <w:pPr>
      <w:tabs>
        <w:tab w:val="center" w:pos="4680"/>
        <w:tab w:val="right" w:pos="9360"/>
      </w:tabs>
    </w:pPr>
  </w:style>
  <w:style w:type="character" w:customStyle="1" w:styleId="FooterChar">
    <w:name w:val="Footer Char"/>
    <w:basedOn w:val="DefaultParagraphFont"/>
    <w:link w:val="Footer"/>
    <w:uiPriority w:val="99"/>
    <w:rsid w:val="003B6FF6"/>
  </w:style>
  <w:style w:type="character" w:customStyle="1" w:styleId="Heading2Char">
    <w:name w:val="Heading 2 Char"/>
    <w:basedOn w:val="DefaultParagraphFont"/>
    <w:link w:val="Heading2"/>
    <w:uiPriority w:val="9"/>
    <w:rsid w:val="008D1C96"/>
    <w:rPr>
      <w:rFonts w:asciiTheme="majorHAnsi" w:eastAsiaTheme="majorEastAsia" w:hAnsiTheme="majorHAnsi" w:cstheme="majorBidi"/>
      <w:color w:val="2E74B5" w:themeColor="accent1" w:themeShade="BF"/>
      <w:sz w:val="26"/>
      <w:szCs w:val="26"/>
    </w:rPr>
  </w:style>
  <w:style w:type="paragraph" w:customStyle="1" w:styleId="EndNoteBibliographyTitle">
    <w:name w:val="EndNote Bibliography Title"/>
    <w:basedOn w:val="Normal"/>
    <w:link w:val="EndNoteBibliographyTitleChar"/>
    <w:rsid w:val="004F3CBE"/>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4F3CBE"/>
    <w:rPr>
      <w:rFonts w:ascii="Calibri" w:hAnsi="Calibri" w:cs="Calibri"/>
      <w:noProof/>
    </w:rPr>
  </w:style>
  <w:style w:type="paragraph" w:customStyle="1" w:styleId="EndNoteBibliography">
    <w:name w:val="EndNote Bibliography"/>
    <w:basedOn w:val="Normal"/>
    <w:link w:val="EndNoteBibliographyChar"/>
    <w:rsid w:val="004F3CBE"/>
    <w:rPr>
      <w:rFonts w:ascii="Calibri" w:hAnsi="Calibri" w:cs="Calibri"/>
      <w:noProof/>
    </w:rPr>
  </w:style>
  <w:style w:type="character" w:customStyle="1" w:styleId="EndNoteBibliographyChar">
    <w:name w:val="EndNote Bibliography Char"/>
    <w:basedOn w:val="DefaultParagraphFont"/>
    <w:link w:val="EndNoteBibliography"/>
    <w:rsid w:val="004F3CBE"/>
    <w:rPr>
      <w:rFonts w:ascii="Calibri" w:hAnsi="Calibri" w:cs="Calibri"/>
      <w:noProof/>
    </w:rPr>
  </w:style>
  <w:style w:type="character" w:customStyle="1" w:styleId="Heading1Char">
    <w:name w:val="Heading 1 Char"/>
    <w:basedOn w:val="DefaultParagraphFont"/>
    <w:link w:val="Heading1"/>
    <w:uiPriority w:val="9"/>
    <w:rsid w:val="0090266C"/>
    <w:rPr>
      <w:rFonts w:eastAsiaTheme="majorEastAsia" w:cstheme="minorHAnsi"/>
      <w:color w:val="2E74B5" w:themeColor="accent1" w:themeShade="BF"/>
      <w:sz w:val="24"/>
      <w:szCs w:val="24"/>
    </w:rPr>
  </w:style>
  <w:style w:type="character" w:customStyle="1" w:styleId="Heading3Char">
    <w:name w:val="Heading 3 Char"/>
    <w:basedOn w:val="DefaultParagraphFont"/>
    <w:link w:val="Heading3"/>
    <w:uiPriority w:val="9"/>
    <w:semiHidden/>
    <w:rsid w:val="00E06F8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E06F8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06F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06F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06F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06F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06F80"/>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F84F72"/>
    <w:rPr>
      <w:color w:val="954F72" w:themeColor="followedHyperlink"/>
      <w:u w:val="single"/>
    </w:rPr>
  </w:style>
  <w:style w:type="character" w:customStyle="1" w:styleId="eop">
    <w:name w:val="eop"/>
    <w:basedOn w:val="DefaultParagraphFont"/>
    <w:rsid w:val="000500CD"/>
  </w:style>
  <w:style w:type="character" w:customStyle="1" w:styleId="normaltextrun">
    <w:name w:val="normaltextrun"/>
    <w:basedOn w:val="DefaultParagraphFont"/>
    <w:rsid w:val="000500CD"/>
  </w:style>
  <w:style w:type="character" w:styleId="UnresolvedMention">
    <w:name w:val="Unresolved Mention"/>
    <w:basedOn w:val="DefaultParagraphFont"/>
    <w:uiPriority w:val="99"/>
    <w:unhideWhenUsed/>
    <w:rsid w:val="00672413"/>
    <w:rPr>
      <w:color w:val="605E5C"/>
      <w:shd w:val="clear" w:color="auto" w:fill="E1DFDD"/>
    </w:rPr>
  </w:style>
  <w:style w:type="paragraph" w:styleId="Revision">
    <w:name w:val="Revision"/>
    <w:hidden/>
    <w:uiPriority w:val="99"/>
    <w:semiHidden/>
    <w:rsid w:val="007B7CA3"/>
  </w:style>
  <w:style w:type="character" w:styleId="Mention">
    <w:name w:val="Mention"/>
    <w:basedOn w:val="DefaultParagraphFont"/>
    <w:uiPriority w:val="99"/>
    <w:unhideWhenUsed/>
    <w:rsid w:val="004A528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065301">
      <w:bodyDiv w:val="1"/>
      <w:marLeft w:val="0"/>
      <w:marRight w:val="0"/>
      <w:marTop w:val="0"/>
      <w:marBottom w:val="0"/>
      <w:divBdr>
        <w:top w:val="none" w:sz="0" w:space="0" w:color="auto"/>
        <w:left w:val="none" w:sz="0" w:space="0" w:color="auto"/>
        <w:bottom w:val="none" w:sz="0" w:space="0" w:color="auto"/>
        <w:right w:val="none" w:sz="0" w:space="0" w:color="auto"/>
      </w:divBdr>
    </w:div>
    <w:div w:id="408121262">
      <w:bodyDiv w:val="1"/>
      <w:marLeft w:val="0"/>
      <w:marRight w:val="0"/>
      <w:marTop w:val="0"/>
      <w:marBottom w:val="0"/>
      <w:divBdr>
        <w:top w:val="none" w:sz="0" w:space="0" w:color="auto"/>
        <w:left w:val="none" w:sz="0" w:space="0" w:color="auto"/>
        <w:bottom w:val="none" w:sz="0" w:space="0" w:color="auto"/>
        <w:right w:val="none" w:sz="0" w:space="0" w:color="auto"/>
      </w:divBdr>
    </w:div>
    <w:div w:id="547567706">
      <w:bodyDiv w:val="1"/>
      <w:marLeft w:val="0"/>
      <w:marRight w:val="0"/>
      <w:marTop w:val="0"/>
      <w:marBottom w:val="0"/>
      <w:divBdr>
        <w:top w:val="none" w:sz="0" w:space="0" w:color="auto"/>
        <w:left w:val="none" w:sz="0" w:space="0" w:color="auto"/>
        <w:bottom w:val="none" w:sz="0" w:space="0" w:color="auto"/>
        <w:right w:val="none" w:sz="0" w:space="0" w:color="auto"/>
      </w:divBdr>
    </w:div>
    <w:div w:id="1218316806">
      <w:bodyDiv w:val="1"/>
      <w:marLeft w:val="0"/>
      <w:marRight w:val="0"/>
      <w:marTop w:val="0"/>
      <w:marBottom w:val="0"/>
      <w:divBdr>
        <w:top w:val="none" w:sz="0" w:space="0" w:color="auto"/>
        <w:left w:val="none" w:sz="0" w:space="0" w:color="auto"/>
        <w:bottom w:val="none" w:sz="0" w:space="0" w:color="auto"/>
        <w:right w:val="none" w:sz="0" w:space="0" w:color="auto"/>
      </w:divBdr>
    </w:div>
    <w:div w:id="1254823528">
      <w:bodyDiv w:val="1"/>
      <w:marLeft w:val="0"/>
      <w:marRight w:val="0"/>
      <w:marTop w:val="0"/>
      <w:marBottom w:val="0"/>
      <w:divBdr>
        <w:top w:val="none" w:sz="0" w:space="0" w:color="auto"/>
        <w:left w:val="none" w:sz="0" w:space="0" w:color="auto"/>
        <w:bottom w:val="none" w:sz="0" w:space="0" w:color="auto"/>
        <w:right w:val="none" w:sz="0" w:space="0" w:color="auto"/>
      </w:divBdr>
    </w:div>
    <w:div w:id="1424186526">
      <w:bodyDiv w:val="1"/>
      <w:marLeft w:val="0"/>
      <w:marRight w:val="0"/>
      <w:marTop w:val="0"/>
      <w:marBottom w:val="0"/>
      <w:divBdr>
        <w:top w:val="none" w:sz="0" w:space="0" w:color="auto"/>
        <w:left w:val="none" w:sz="0" w:space="0" w:color="auto"/>
        <w:bottom w:val="none" w:sz="0" w:space="0" w:color="auto"/>
        <w:right w:val="none" w:sz="0" w:space="0" w:color="auto"/>
      </w:divBdr>
    </w:div>
    <w:div w:id="1475366453">
      <w:bodyDiv w:val="1"/>
      <w:marLeft w:val="0"/>
      <w:marRight w:val="0"/>
      <w:marTop w:val="0"/>
      <w:marBottom w:val="0"/>
      <w:divBdr>
        <w:top w:val="none" w:sz="0" w:space="0" w:color="auto"/>
        <w:left w:val="none" w:sz="0" w:space="0" w:color="auto"/>
        <w:bottom w:val="none" w:sz="0" w:space="0" w:color="auto"/>
        <w:right w:val="none" w:sz="0" w:space="0" w:color="auto"/>
      </w:divBdr>
    </w:div>
    <w:div w:id="1557668914">
      <w:bodyDiv w:val="1"/>
      <w:marLeft w:val="0"/>
      <w:marRight w:val="0"/>
      <w:marTop w:val="0"/>
      <w:marBottom w:val="0"/>
      <w:divBdr>
        <w:top w:val="none" w:sz="0" w:space="0" w:color="auto"/>
        <w:left w:val="none" w:sz="0" w:space="0" w:color="auto"/>
        <w:bottom w:val="none" w:sz="0" w:space="0" w:color="auto"/>
        <w:right w:val="none" w:sz="0" w:space="0" w:color="auto"/>
      </w:divBdr>
    </w:div>
    <w:div w:id="159759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epa.gov/endangered-species/revised-method-national-level-listed-species-biological-evaluations-conventional" TargetMode="External"/><Relationship Id="rId2" Type="http://schemas.openxmlformats.org/officeDocument/2006/relationships/hyperlink" Target="http://www.epa.gov/pesticides/science/models_pg.htm" TargetMode="External"/><Relationship Id="rId1" Type="http://schemas.openxmlformats.org/officeDocument/2006/relationships/hyperlink" Target="https://www.epa.gov/endangered-species/revised-method-national-level-listed-species-biological-evaluations-conventio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3" ma:contentTypeDescription="Create a new document." ma:contentTypeScope="" ma:versionID="9cdd830c5fbfbacfab4658fd68a560e0">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eaa7db18add321e17dd5987d2d6b1df2"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2020-02-14T13:22:28+00:00</Document_x0020_Creation_x0020_Date>
    <_Source xmlns="http://schemas.microsoft.com/sharepoint/v3/fields" xsi:nil="tru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Update xmlns="1b69afd8-9bdb-481b-b26a-06cbd17fa30c" xsi:nil="true"/>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PublishingExpirationDate xmlns="http://schemas.microsoft.com/sharepoint/v3" xsi:nil="true"/>
    <Creator xmlns="4ffa91fb-a0ff-4ac5-b2db-65c790d184a4">
      <UserInfo>
        <DisplayName/>
        <AccountId xsi:nil="true"/>
        <AccountType/>
      </UserInfo>
    </Creator>
    <EPA_x0020_Related_x0020_Documents xmlns="4ffa91fb-a0ff-4ac5-b2db-65c790d184a4" xsi:nil="true"/>
    <PublishingStartDate xmlns="http://schemas.microsoft.com/sharepoint/v3" xsi:nil="true"/>
    <EPA_x0020_Contributor xmlns="4ffa91fb-a0ff-4ac5-b2db-65c790d184a4">
      <UserInfo>
        <DisplayName/>
        <AccountId xsi:nil="true"/>
        <AccountType/>
      </UserInfo>
    </EPA_x0020_Contributor>
    <TaxCatchAll xmlns="4ffa91fb-a0ff-4ac5-b2db-65c790d184a4"/>
    <SharedWithUsers xmlns="a5d1ca4e-0a3f-4119-b619-e20b93ebd1aa">
      <UserInfo>
        <DisplayName>Wendel, Christina</DisplayName>
        <AccountId>4298</AccountId>
        <AccountType/>
      </UserInfo>
      <UserInfo>
        <DisplayName>White, Katrina</DisplayName>
        <AccountId>838</AccountId>
        <AccountType/>
      </UserInfo>
      <UserInfo>
        <DisplayName>Anderson, Brian</DisplayName>
        <AccountId>650</AccountId>
        <AccountType/>
      </UserInfo>
      <UserInfo>
        <DisplayName>Blankinship, Amy</DisplayName>
        <AccountId>1004</AccountId>
        <AccountType/>
      </UserInfo>
      <UserInfo>
        <DisplayName>Johnson, Tamara</DisplayName>
        <AccountId>8027</AccountId>
        <AccountType/>
      </UserInfo>
      <UserInfo>
        <DisplayName>Fowler, Jerrett</DisplayName>
        <AccountId>6397</AccountId>
        <AccountType/>
      </UserInfo>
      <UserInfo>
        <DisplayName>Harwood, Douglas</DisplayName>
        <AccountId>6097</AccountId>
        <AccountType/>
      </UserInfo>
      <UserInfo>
        <DisplayName>Echeverria, Marietta</DisplayName>
        <AccountId>250</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AE9BC-CA00-497D-A77F-FB7CC4BA46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A5291-ED1F-4B03-BE11-F0259FE6854C}">
  <ds:schemaRefs>
    <ds:schemaRef ds:uri="http://purl.org/dc/dcmitype/"/>
    <ds:schemaRef ds:uri="http://schemas.microsoft.com/office/infopath/2007/PartnerControls"/>
    <ds:schemaRef ds:uri="http://purl.org/dc/elements/1.1/"/>
    <ds:schemaRef ds:uri="4ffa91fb-a0ff-4ac5-b2db-65c790d184a4"/>
    <ds:schemaRef ds:uri="http://schemas.microsoft.com/office/2006/metadata/properties"/>
    <ds:schemaRef ds:uri="http://schemas.openxmlformats.org/package/2006/metadata/core-properties"/>
    <ds:schemaRef ds:uri="1b69afd8-9bdb-481b-b26a-06cbd17fa30c"/>
    <ds:schemaRef ds:uri="http://schemas.microsoft.com/office/2006/documentManagement/types"/>
    <ds:schemaRef ds:uri="http://purl.org/dc/terms/"/>
    <ds:schemaRef ds:uri="http://schemas.microsoft.com/sharepoint/v3/fields"/>
    <ds:schemaRef ds:uri="a5d1ca4e-0a3f-4119-b619-e20b93ebd1aa"/>
    <ds:schemaRef ds:uri="http://schemas.microsoft.com/sharepoint.v3"/>
    <ds:schemaRef ds:uri="http://schemas.microsoft.com/sharepoint/v3"/>
    <ds:schemaRef ds:uri="http://www.w3.org/XML/1998/namespace"/>
  </ds:schemaRefs>
</ds:datastoreItem>
</file>

<file path=customXml/itemProps3.xml><?xml version="1.0" encoding="utf-8"?>
<ds:datastoreItem xmlns:ds="http://schemas.openxmlformats.org/officeDocument/2006/customXml" ds:itemID="{77CEFF2A-1743-49E9-9391-B59444E71D28}">
  <ds:schemaRefs>
    <ds:schemaRef ds:uri="Microsoft.SharePoint.Taxonomy.ContentTypeSync"/>
  </ds:schemaRefs>
</ds:datastoreItem>
</file>

<file path=customXml/itemProps4.xml><?xml version="1.0" encoding="utf-8"?>
<ds:datastoreItem xmlns:ds="http://schemas.openxmlformats.org/officeDocument/2006/customXml" ds:itemID="{BE49C36F-FB7D-45C3-B76F-A96993AF2E94}">
  <ds:schemaRefs>
    <ds:schemaRef ds:uri="http://schemas.microsoft.com/sharepoint/v3/contenttype/forms"/>
  </ds:schemaRefs>
</ds:datastoreItem>
</file>

<file path=customXml/itemProps5.xml><?xml version="1.0" encoding="utf-8"?>
<ds:datastoreItem xmlns:ds="http://schemas.openxmlformats.org/officeDocument/2006/customXml" ds:itemID="{4806F4EE-A7BD-459B-BDB3-30A5F4A8D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2157</Words>
  <Characters>12295</Characters>
  <Application>Microsoft Office Word</Application>
  <DocSecurity>10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Panger, Melissa</dc:creator>
  <cp:keywords/>
  <dc:description/>
  <cp:lastModifiedBy>Harwood, Douglas (Ethan)</cp:lastModifiedBy>
  <cp:revision>2</cp:revision>
  <dcterms:created xsi:type="dcterms:W3CDTF">2021-03-22T16:31:00Z</dcterms:created>
  <dcterms:modified xsi:type="dcterms:W3CDTF">2021-03-22T16:31:00Z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0x010100468ED9461BD0F242A21E59CB3747CA89</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