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A0AF786" w14:textId="588861C6" w:rsidR="00FD6B1C" w:rsidRPr="00F01F1D" w:rsidRDefault="7F3E87CA" w:rsidP="00FD6B1C">
      <w:pPr>
        <w:rPr>
          <w:b/>
          <w:bCs/>
          <w:color w:val="4472C4" w:themeColor="accent5"/>
          <w:sz w:val="32"/>
          <w:szCs w:val="32"/>
        </w:rPr>
      </w:pPr>
      <w:bookmarkStart w:id="0" w:name="_Toc31220268"/>
      <w:r w:rsidRPr="7F3E87CA">
        <w:rPr>
          <w:b/>
          <w:bCs/>
          <w:color w:val="4471C4"/>
          <w:sz w:val="32"/>
          <w:szCs w:val="32"/>
        </w:rPr>
        <w:t xml:space="preserve">Chapter 1 – </w:t>
      </w:r>
      <w:r w:rsidR="00A94DFD">
        <w:rPr>
          <w:b/>
          <w:bCs/>
          <w:color w:val="4471C4"/>
          <w:sz w:val="32"/>
          <w:szCs w:val="32"/>
        </w:rPr>
        <w:t xml:space="preserve">Final </w:t>
      </w:r>
      <w:r w:rsidRPr="7F3E87CA">
        <w:rPr>
          <w:b/>
          <w:bCs/>
          <w:color w:val="4471C4"/>
          <w:sz w:val="32"/>
          <w:szCs w:val="32"/>
        </w:rPr>
        <w:t xml:space="preserve">Carbaryl </w:t>
      </w:r>
      <w:r w:rsidRPr="00C75693">
        <w:rPr>
          <w:b/>
          <w:bCs/>
          <w:color w:val="4472C4"/>
          <w:sz w:val="32"/>
          <w:szCs w:val="32"/>
        </w:rPr>
        <w:t>Problem</w:t>
      </w:r>
      <w:r w:rsidRPr="7F3E87CA">
        <w:rPr>
          <w:b/>
          <w:bCs/>
          <w:color w:val="4471C4"/>
          <w:sz w:val="32"/>
          <w:szCs w:val="32"/>
        </w:rPr>
        <w:t xml:space="preserve"> Formulation</w:t>
      </w:r>
    </w:p>
    <w:sdt>
      <w:sdtPr>
        <w:id w:val="-138042689"/>
        <w:docPartObj>
          <w:docPartGallery w:val="Table of Contents"/>
          <w:docPartUnique/>
        </w:docPartObj>
      </w:sdtPr>
      <w:sdtEndPr>
        <w:rPr>
          <w:b/>
          <w:bCs/>
          <w:noProof/>
        </w:rPr>
      </w:sdtEndPr>
      <w:sdtContent>
        <w:p w14:paraId="1F3C356B" w14:textId="1FB4A18F" w:rsidR="00FD36B6" w:rsidRPr="00C75693" w:rsidRDefault="00FD36B6" w:rsidP="006E5A11">
          <w:pPr>
            <w:rPr>
              <w:color w:val="4472C4"/>
              <w:sz w:val="32"/>
              <w:szCs w:val="32"/>
            </w:rPr>
          </w:pPr>
          <w:r w:rsidRPr="00C75693">
            <w:rPr>
              <w:color w:val="4472C4"/>
              <w:sz w:val="32"/>
              <w:szCs w:val="32"/>
            </w:rPr>
            <w:t>Contents</w:t>
          </w:r>
        </w:p>
        <w:p w14:paraId="35B4BACB" w14:textId="17A9AB96" w:rsidR="00E07C38" w:rsidRDefault="00FD36B6">
          <w:pPr>
            <w:pStyle w:val="TOC1"/>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66888747" w:history="1">
            <w:r w:rsidR="00E07C38" w:rsidRPr="00657B94">
              <w:rPr>
                <w:rStyle w:val="Hyperlink"/>
                <w:noProof/>
              </w:rPr>
              <w:t>1</w:t>
            </w:r>
            <w:r w:rsidR="00E07C38">
              <w:rPr>
                <w:rFonts w:asciiTheme="minorHAnsi" w:eastAsiaTheme="minorEastAsia" w:hAnsiTheme="minorHAnsi" w:cstheme="minorBidi"/>
                <w:noProof/>
                <w:color w:val="auto"/>
              </w:rPr>
              <w:tab/>
            </w:r>
            <w:r w:rsidR="00E07C38" w:rsidRPr="00657B94">
              <w:rPr>
                <w:rStyle w:val="Hyperlink"/>
                <w:noProof/>
              </w:rPr>
              <w:t>Introduction</w:t>
            </w:r>
            <w:r w:rsidR="00E07C38">
              <w:rPr>
                <w:noProof/>
                <w:webHidden/>
              </w:rPr>
              <w:tab/>
            </w:r>
            <w:r w:rsidR="00E07C38">
              <w:rPr>
                <w:noProof/>
                <w:webHidden/>
              </w:rPr>
              <w:fldChar w:fldCharType="begin"/>
            </w:r>
            <w:r w:rsidR="00E07C38">
              <w:rPr>
                <w:noProof/>
                <w:webHidden/>
              </w:rPr>
              <w:instrText xml:space="preserve"> PAGEREF _Toc66888747 \h </w:instrText>
            </w:r>
            <w:r w:rsidR="00E07C38">
              <w:rPr>
                <w:noProof/>
                <w:webHidden/>
              </w:rPr>
            </w:r>
            <w:r w:rsidR="00E07C38">
              <w:rPr>
                <w:noProof/>
                <w:webHidden/>
              </w:rPr>
              <w:fldChar w:fldCharType="separate"/>
            </w:r>
            <w:r w:rsidR="00E07C38">
              <w:rPr>
                <w:noProof/>
                <w:webHidden/>
              </w:rPr>
              <w:t>1</w:t>
            </w:r>
            <w:r w:rsidR="00E07C38">
              <w:rPr>
                <w:noProof/>
                <w:webHidden/>
              </w:rPr>
              <w:fldChar w:fldCharType="end"/>
            </w:r>
          </w:hyperlink>
        </w:p>
        <w:p w14:paraId="716ED6AF" w14:textId="18339CB9" w:rsidR="00E07C38" w:rsidRDefault="00E07C38">
          <w:pPr>
            <w:pStyle w:val="TOC1"/>
            <w:rPr>
              <w:rFonts w:asciiTheme="minorHAnsi" w:eastAsiaTheme="minorEastAsia" w:hAnsiTheme="minorHAnsi" w:cstheme="minorBidi"/>
              <w:noProof/>
              <w:color w:val="auto"/>
            </w:rPr>
          </w:pPr>
          <w:hyperlink w:anchor="_Toc66888748" w:history="1">
            <w:r w:rsidRPr="00657B94">
              <w:rPr>
                <w:rStyle w:val="Hyperlink"/>
                <w:noProof/>
              </w:rPr>
              <w:t>2</w:t>
            </w:r>
            <w:r>
              <w:rPr>
                <w:rFonts w:asciiTheme="minorHAnsi" w:eastAsiaTheme="minorEastAsia" w:hAnsiTheme="minorHAnsi" w:cstheme="minorBidi"/>
                <w:noProof/>
                <w:color w:val="auto"/>
              </w:rPr>
              <w:tab/>
            </w:r>
            <w:r w:rsidRPr="00657B94">
              <w:rPr>
                <w:rStyle w:val="Hyperlink"/>
                <w:noProof/>
              </w:rPr>
              <w:t>Description of the Federal Action</w:t>
            </w:r>
            <w:r>
              <w:rPr>
                <w:noProof/>
                <w:webHidden/>
              </w:rPr>
              <w:tab/>
            </w:r>
            <w:r>
              <w:rPr>
                <w:noProof/>
                <w:webHidden/>
              </w:rPr>
              <w:fldChar w:fldCharType="begin"/>
            </w:r>
            <w:r>
              <w:rPr>
                <w:noProof/>
                <w:webHidden/>
              </w:rPr>
              <w:instrText xml:space="preserve"> PAGEREF _Toc66888748 \h </w:instrText>
            </w:r>
            <w:r>
              <w:rPr>
                <w:noProof/>
                <w:webHidden/>
              </w:rPr>
            </w:r>
            <w:r>
              <w:rPr>
                <w:noProof/>
                <w:webHidden/>
              </w:rPr>
              <w:fldChar w:fldCharType="separate"/>
            </w:r>
            <w:r>
              <w:rPr>
                <w:noProof/>
                <w:webHidden/>
              </w:rPr>
              <w:t>2</w:t>
            </w:r>
            <w:r>
              <w:rPr>
                <w:noProof/>
                <w:webHidden/>
              </w:rPr>
              <w:fldChar w:fldCharType="end"/>
            </w:r>
          </w:hyperlink>
        </w:p>
        <w:p w14:paraId="442EE8B7" w14:textId="508AFB7B" w:rsidR="00E07C38" w:rsidRDefault="00E07C38">
          <w:pPr>
            <w:pStyle w:val="TOC1"/>
            <w:rPr>
              <w:rFonts w:asciiTheme="minorHAnsi" w:eastAsiaTheme="minorEastAsia" w:hAnsiTheme="minorHAnsi" w:cstheme="minorBidi"/>
              <w:noProof/>
              <w:color w:val="auto"/>
            </w:rPr>
          </w:pPr>
          <w:hyperlink w:anchor="_Toc66888749" w:history="1">
            <w:r w:rsidRPr="00657B94">
              <w:rPr>
                <w:rStyle w:val="Hyperlink"/>
                <w:noProof/>
              </w:rPr>
              <w:t>3</w:t>
            </w:r>
            <w:r>
              <w:rPr>
                <w:rFonts w:asciiTheme="minorHAnsi" w:eastAsiaTheme="minorEastAsia" w:hAnsiTheme="minorHAnsi" w:cstheme="minorBidi"/>
                <w:noProof/>
                <w:color w:val="auto"/>
              </w:rPr>
              <w:tab/>
            </w:r>
            <w:r w:rsidRPr="00657B94">
              <w:rPr>
                <w:rStyle w:val="Hyperlink"/>
                <w:noProof/>
              </w:rPr>
              <w:t>Mode and Mechanism of Action</w:t>
            </w:r>
            <w:r>
              <w:rPr>
                <w:noProof/>
                <w:webHidden/>
              </w:rPr>
              <w:tab/>
            </w:r>
            <w:r>
              <w:rPr>
                <w:noProof/>
                <w:webHidden/>
              </w:rPr>
              <w:fldChar w:fldCharType="begin"/>
            </w:r>
            <w:r>
              <w:rPr>
                <w:noProof/>
                <w:webHidden/>
              </w:rPr>
              <w:instrText xml:space="preserve"> PAGEREF _Toc66888749 \h </w:instrText>
            </w:r>
            <w:r>
              <w:rPr>
                <w:noProof/>
                <w:webHidden/>
              </w:rPr>
            </w:r>
            <w:r>
              <w:rPr>
                <w:noProof/>
                <w:webHidden/>
              </w:rPr>
              <w:fldChar w:fldCharType="separate"/>
            </w:r>
            <w:r>
              <w:rPr>
                <w:noProof/>
                <w:webHidden/>
              </w:rPr>
              <w:t>2</w:t>
            </w:r>
            <w:r>
              <w:rPr>
                <w:noProof/>
                <w:webHidden/>
              </w:rPr>
              <w:fldChar w:fldCharType="end"/>
            </w:r>
          </w:hyperlink>
        </w:p>
        <w:p w14:paraId="56A2991C" w14:textId="4C9356B3" w:rsidR="00E07C38" w:rsidRDefault="00E07C38">
          <w:pPr>
            <w:pStyle w:val="TOC1"/>
            <w:rPr>
              <w:rFonts w:asciiTheme="minorHAnsi" w:eastAsiaTheme="minorEastAsia" w:hAnsiTheme="minorHAnsi" w:cstheme="minorBidi"/>
              <w:noProof/>
              <w:color w:val="auto"/>
            </w:rPr>
          </w:pPr>
          <w:hyperlink w:anchor="_Toc66888750" w:history="1">
            <w:r w:rsidRPr="00657B94">
              <w:rPr>
                <w:rStyle w:val="Hyperlink"/>
                <w:noProof/>
              </w:rPr>
              <w:t>4</w:t>
            </w:r>
            <w:r>
              <w:rPr>
                <w:rFonts w:asciiTheme="minorHAnsi" w:eastAsiaTheme="minorEastAsia" w:hAnsiTheme="minorHAnsi" w:cstheme="minorBidi"/>
                <w:noProof/>
                <w:color w:val="auto"/>
              </w:rPr>
              <w:tab/>
            </w:r>
            <w:r w:rsidRPr="00657B94">
              <w:rPr>
                <w:rStyle w:val="Hyperlink"/>
                <w:noProof/>
              </w:rPr>
              <w:t>Use and Usage Characterization</w:t>
            </w:r>
            <w:r>
              <w:rPr>
                <w:noProof/>
                <w:webHidden/>
              </w:rPr>
              <w:tab/>
            </w:r>
            <w:r>
              <w:rPr>
                <w:noProof/>
                <w:webHidden/>
              </w:rPr>
              <w:fldChar w:fldCharType="begin"/>
            </w:r>
            <w:r>
              <w:rPr>
                <w:noProof/>
                <w:webHidden/>
              </w:rPr>
              <w:instrText xml:space="preserve"> PAGEREF _Toc66888750 \h </w:instrText>
            </w:r>
            <w:r>
              <w:rPr>
                <w:noProof/>
                <w:webHidden/>
              </w:rPr>
            </w:r>
            <w:r>
              <w:rPr>
                <w:noProof/>
                <w:webHidden/>
              </w:rPr>
              <w:fldChar w:fldCharType="separate"/>
            </w:r>
            <w:r>
              <w:rPr>
                <w:noProof/>
                <w:webHidden/>
              </w:rPr>
              <w:t>2</w:t>
            </w:r>
            <w:r>
              <w:rPr>
                <w:noProof/>
                <w:webHidden/>
              </w:rPr>
              <w:fldChar w:fldCharType="end"/>
            </w:r>
          </w:hyperlink>
        </w:p>
        <w:p w14:paraId="36D89ED7" w14:textId="71129569" w:rsidR="00E07C38" w:rsidRDefault="00E07C38">
          <w:pPr>
            <w:pStyle w:val="TOC2"/>
            <w:tabs>
              <w:tab w:val="left" w:pos="880"/>
              <w:tab w:val="right" w:leader="dot" w:pos="9350"/>
            </w:tabs>
            <w:rPr>
              <w:rFonts w:asciiTheme="minorHAnsi" w:eastAsiaTheme="minorEastAsia" w:hAnsiTheme="minorHAnsi" w:cstheme="minorBidi"/>
              <w:noProof/>
              <w:color w:val="auto"/>
            </w:rPr>
          </w:pPr>
          <w:hyperlink w:anchor="_Toc66888751" w:history="1">
            <w:r w:rsidRPr="00657B94">
              <w:rPr>
                <w:rStyle w:val="Hyperlink"/>
                <w:noProof/>
              </w:rPr>
              <w:t>4.1</w:t>
            </w:r>
            <w:r>
              <w:rPr>
                <w:rFonts w:asciiTheme="minorHAnsi" w:eastAsiaTheme="minorEastAsia" w:hAnsiTheme="minorHAnsi" w:cstheme="minorBidi"/>
                <w:noProof/>
                <w:color w:val="auto"/>
              </w:rPr>
              <w:tab/>
            </w:r>
            <w:r w:rsidRPr="00657B94">
              <w:rPr>
                <w:rStyle w:val="Hyperlink"/>
                <w:noProof/>
              </w:rPr>
              <w:t>Use Data (as Defined on Registered Product Labels)</w:t>
            </w:r>
            <w:r>
              <w:rPr>
                <w:noProof/>
                <w:webHidden/>
              </w:rPr>
              <w:tab/>
            </w:r>
            <w:r>
              <w:rPr>
                <w:noProof/>
                <w:webHidden/>
              </w:rPr>
              <w:fldChar w:fldCharType="begin"/>
            </w:r>
            <w:r>
              <w:rPr>
                <w:noProof/>
                <w:webHidden/>
              </w:rPr>
              <w:instrText xml:space="preserve"> PAGEREF _Toc66888751 \h </w:instrText>
            </w:r>
            <w:r>
              <w:rPr>
                <w:noProof/>
                <w:webHidden/>
              </w:rPr>
            </w:r>
            <w:r>
              <w:rPr>
                <w:noProof/>
                <w:webHidden/>
              </w:rPr>
              <w:fldChar w:fldCharType="separate"/>
            </w:r>
            <w:r>
              <w:rPr>
                <w:noProof/>
                <w:webHidden/>
              </w:rPr>
              <w:t>2</w:t>
            </w:r>
            <w:r>
              <w:rPr>
                <w:noProof/>
                <w:webHidden/>
              </w:rPr>
              <w:fldChar w:fldCharType="end"/>
            </w:r>
          </w:hyperlink>
        </w:p>
        <w:p w14:paraId="2F526583" w14:textId="72501663" w:rsidR="00E07C38" w:rsidRDefault="00E07C38">
          <w:pPr>
            <w:pStyle w:val="TOC2"/>
            <w:tabs>
              <w:tab w:val="left" w:pos="880"/>
              <w:tab w:val="right" w:leader="dot" w:pos="9350"/>
            </w:tabs>
            <w:rPr>
              <w:rFonts w:asciiTheme="minorHAnsi" w:eastAsiaTheme="minorEastAsia" w:hAnsiTheme="minorHAnsi" w:cstheme="minorBidi"/>
              <w:noProof/>
              <w:color w:val="auto"/>
            </w:rPr>
          </w:pPr>
          <w:hyperlink w:anchor="_Toc66888752" w:history="1">
            <w:r w:rsidRPr="00657B94">
              <w:rPr>
                <w:rStyle w:val="Hyperlink"/>
                <w:noProof/>
              </w:rPr>
              <w:t>4.2</w:t>
            </w:r>
            <w:r>
              <w:rPr>
                <w:rFonts w:asciiTheme="minorHAnsi" w:eastAsiaTheme="minorEastAsia" w:hAnsiTheme="minorHAnsi" w:cstheme="minorBidi"/>
                <w:noProof/>
                <w:color w:val="auto"/>
              </w:rPr>
              <w:tab/>
            </w:r>
            <w:r w:rsidRPr="00657B94">
              <w:rPr>
                <w:rStyle w:val="Hyperlink"/>
                <w:noProof/>
              </w:rPr>
              <w:t>Usage Data</w:t>
            </w:r>
            <w:r>
              <w:rPr>
                <w:noProof/>
                <w:webHidden/>
              </w:rPr>
              <w:tab/>
            </w:r>
            <w:r>
              <w:rPr>
                <w:noProof/>
                <w:webHidden/>
              </w:rPr>
              <w:fldChar w:fldCharType="begin"/>
            </w:r>
            <w:r>
              <w:rPr>
                <w:noProof/>
                <w:webHidden/>
              </w:rPr>
              <w:instrText xml:space="preserve"> PAGEREF _Toc66888752 \h </w:instrText>
            </w:r>
            <w:r>
              <w:rPr>
                <w:noProof/>
                <w:webHidden/>
              </w:rPr>
            </w:r>
            <w:r>
              <w:rPr>
                <w:noProof/>
                <w:webHidden/>
              </w:rPr>
              <w:fldChar w:fldCharType="separate"/>
            </w:r>
            <w:r>
              <w:rPr>
                <w:noProof/>
                <w:webHidden/>
              </w:rPr>
              <w:t>4</w:t>
            </w:r>
            <w:r>
              <w:rPr>
                <w:noProof/>
                <w:webHidden/>
              </w:rPr>
              <w:fldChar w:fldCharType="end"/>
            </w:r>
          </w:hyperlink>
        </w:p>
        <w:p w14:paraId="070D3067" w14:textId="5DE63D4F" w:rsidR="00E07C38" w:rsidRDefault="00E07C38">
          <w:pPr>
            <w:pStyle w:val="TOC1"/>
            <w:rPr>
              <w:rFonts w:asciiTheme="minorHAnsi" w:eastAsiaTheme="minorEastAsia" w:hAnsiTheme="minorHAnsi" w:cstheme="minorBidi"/>
              <w:noProof/>
              <w:color w:val="auto"/>
            </w:rPr>
          </w:pPr>
          <w:hyperlink w:anchor="_Toc66888753" w:history="1">
            <w:r w:rsidRPr="00657B94">
              <w:rPr>
                <w:rStyle w:val="Hyperlink"/>
                <w:noProof/>
              </w:rPr>
              <w:t>5</w:t>
            </w:r>
            <w:r>
              <w:rPr>
                <w:rFonts w:asciiTheme="minorHAnsi" w:eastAsiaTheme="minorEastAsia" w:hAnsiTheme="minorHAnsi" w:cstheme="minorBidi"/>
                <w:noProof/>
                <w:color w:val="auto"/>
              </w:rPr>
              <w:tab/>
            </w:r>
            <w:r w:rsidRPr="00657B94">
              <w:rPr>
                <w:rStyle w:val="Hyperlink"/>
                <w:noProof/>
              </w:rPr>
              <w:t>Overview of Environmental Fate</w:t>
            </w:r>
            <w:r>
              <w:rPr>
                <w:noProof/>
                <w:webHidden/>
              </w:rPr>
              <w:tab/>
            </w:r>
            <w:r>
              <w:rPr>
                <w:noProof/>
                <w:webHidden/>
              </w:rPr>
              <w:fldChar w:fldCharType="begin"/>
            </w:r>
            <w:r>
              <w:rPr>
                <w:noProof/>
                <w:webHidden/>
              </w:rPr>
              <w:instrText xml:space="preserve"> PAGEREF _Toc66888753 \h </w:instrText>
            </w:r>
            <w:r>
              <w:rPr>
                <w:noProof/>
                <w:webHidden/>
              </w:rPr>
            </w:r>
            <w:r>
              <w:rPr>
                <w:noProof/>
                <w:webHidden/>
              </w:rPr>
              <w:fldChar w:fldCharType="separate"/>
            </w:r>
            <w:r>
              <w:rPr>
                <w:noProof/>
                <w:webHidden/>
              </w:rPr>
              <w:t>4</w:t>
            </w:r>
            <w:r>
              <w:rPr>
                <w:noProof/>
                <w:webHidden/>
              </w:rPr>
              <w:fldChar w:fldCharType="end"/>
            </w:r>
          </w:hyperlink>
        </w:p>
        <w:p w14:paraId="2006A2C8" w14:textId="6F08D091" w:rsidR="00E07C38" w:rsidRDefault="00E07C38">
          <w:pPr>
            <w:pStyle w:val="TOC1"/>
            <w:rPr>
              <w:rFonts w:asciiTheme="minorHAnsi" w:eastAsiaTheme="minorEastAsia" w:hAnsiTheme="minorHAnsi" w:cstheme="minorBidi"/>
              <w:noProof/>
              <w:color w:val="auto"/>
            </w:rPr>
          </w:pPr>
          <w:hyperlink w:anchor="_Toc66888754" w:history="1">
            <w:r w:rsidRPr="00657B94">
              <w:rPr>
                <w:rStyle w:val="Hyperlink"/>
                <w:noProof/>
              </w:rPr>
              <w:t>6</w:t>
            </w:r>
            <w:r>
              <w:rPr>
                <w:rFonts w:asciiTheme="minorHAnsi" w:eastAsiaTheme="minorEastAsia" w:hAnsiTheme="minorHAnsi" w:cstheme="minorBidi"/>
                <w:noProof/>
                <w:color w:val="auto"/>
              </w:rPr>
              <w:tab/>
            </w:r>
            <w:r w:rsidRPr="00657B94">
              <w:rPr>
                <w:rStyle w:val="Hyperlink"/>
                <w:noProof/>
              </w:rPr>
              <w:t>Residue of Concern</w:t>
            </w:r>
            <w:r>
              <w:rPr>
                <w:noProof/>
                <w:webHidden/>
              </w:rPr>
              <w:tab/>
            </w:r>
            <w:r>
              <w:rPr>
                <w:noProof/>
                <w:webHidden/>
              </w:rPr>
              <w:fldChar w:fldCharType="begin"/>
            </w:r>
            <w:r>
              <w:rPr>
                <w:noProof/>
                <w:webHidden/>
              </w:rPr>
              <w:instrText xml:space="preserve"> PAGEREF _Toc66888754 \h </w:instrText>
            </w:r>
            <w:r>
              <w:rPr>
                <w:noProof/>
                <w:webHidden/>
              </w:rPr>
            </w:r>
            <w:r>
              <w:rPr>
                <w:noProof/>
                <w:webHidden/>
              </w:rPr>
              <w:fldChar w:fldCharType="separate"/>
            </w:r>
            <w:r>
              <w:rPr>
                <w:noProof/>
                <w:webHidden/>
              </w:rPr>
              <w:t>5</w:t>
            </w:r>
            <w:r>
              <w:rPr>
                <w:noProof/>
                <w:webHidden/>
              </w:rPr>
              <w:fldChar w:fldCharType="end"/>
            </w:r>
          </w:hyperlink>
        </w:p>
        <w:p w14:paraId="399F9172" w14:textId="702D3785" w:rsidR="00E07C38" w:rsidRDefault="00E07C38">
          <w:pPr>
            <w:pStyle w:val="TOC1"/>
            <w:rPr>
              <w:rFonts w:asciiTheme="minorHAnsi" w:eastAsiaTheme="minorEastAsia" w:hAnsiTheme="minorHAnsi" w:cstheme="minorBidi"/>
              <w:noProof/>
              <w:color w:val="auto"/>
            </w:rPr>
          </w:pPr>
          <w:hyperlink w:anchor="_Toc66888755" w:history="1">
            <w:r w:rsidRPr="00657B94">
              <w:rPr>
                <w:rStyle w:val="Hyperlink"/>
                <w:noProof/>
              </w:rPr>
              <w:t>7</w:t>
            </w:r>
            <w:r>
              <w:rPr>
                <w:rFonts w:asciiTheme="minorHAnsi" w:eastAsiaTheme="minorEastAsia" w:hAnsiTheme="minorHAnsi" w:cstheme="minorBidi"/>
                <w:noProof/>
                <w:color w:val="auto"/>
              </w:rPr>
              <w:tab/>
            </w:r>
            <w:r w:rsidRPr="00657B94">
              <w:rPr>
                <w:rStyle w:val="Hyperlink"/>
                <w:noProof/>
              </w:rPr>
              <w:t>Analysis Plan</w:t>
            </w:r>
            <w:r>
              <w:rPr>
                <w:noProof/>
                <w:webHidden/>
              </w:rPr>
              <w:tab/>
            </w:r>
            <w:r>
              <w:rPr>
                <w:noProof/>
                <w:webHidden/>
              </w:rPr>
              <w:fldChar w:fldCharType="begin"/>
            </w:r>
            <w:r>
              <w:rPr>
                <w:noProof/>
                <w:webHidden/>
              </w:rPr>
              <w:instrText xml:space="preserve"> PAGEREF _Toc66888755 \h </w:instrText>
            </w:r>
            <w:r>
              <w:rPr>
                <w:noProof/>
                <w:webHidden/>
              </w:rPr>
            </w:r>
            <w:r>
              <w:rPr>
                <w:noProof/>
                <w:webHidden/>
              </w:rPr>
              <w:fldChar w:fldCharType="separate"/>
            </w:r>
            <w:r>
              <w:rPr>
                <w:noProof/>
                <w:webHidden/>
              </w:rPr>
              <w:t>5</w:t>
            </w:r>
            <w:r>
              <w:rPr>
                <w:noProof/>
                <w:webHidden/>
              </w:rPr>
              <w:fldChar w:fldCharType="end"/>
            </w:r>
          </w:hyperlink>
        </w:p>
        <w:p w14:paraId="399BA47F" w14:textId="0737A1DC" w:rsidR="00E07C38" w:rsidRDefault="00E07C38">
          <w:pPr>
            <w:pStyle w:val="TOC1"/>
            <w:rPr>
              <w:rFonts w:asciiTheme="minorHAnsi" w:eastAsiaTheme="minorEastAsia" w:hAnsiTheme="minorHAnsi" w:cstheme="minorBidi"/>
              <w:noProof/>
              <w:color w:val="auto"/>
            </w:rPr>
          </w:pPr>
          <w:hyperlink w:anchor="_Toc66888756" w:history="1">
            <w:r w:rsidRPr="00657B94">
              <w:rPr>
                <w:rStyle w:val="Hyperlink"/>
                <w:noProof/>
              </w:rPr>
              <w:t>8</w:t>
            </w:r>
            <w:r>
              <w:rPr>
                <w:rFonts w:asciiTheme="minorHAnsi" w:eastAsiaTheme="minorEastAsia" w:hAnsiTheme="minorHAnsi" w:cstheme="minorBidi"/>
                <w:noProof/>
                <w:color w:val="auto"/>
              </w:rPr>
              <w:tab/>
            </w:r>
            <w:r w:rsidRPr="00657B94">
              <w:rPr>
                <w:rStyle w:val="Hyperlink"/>
                <w:noProof/>
              </w:rPr>
              <w:t>Literature Cited</w:t>
            </w:r>
            <w:r>
              <w:rPr>
                <w:noProof/>
                <w:webHidden/>
              </w:rPr>
              <w:tab/>
            </w:r>
            <w:r>
              <w:rPr>
                <w:noProof/>
                <w:webHidden/>
              </w:rPr>
              <w:fldChar w:fldCharType="begin"/>
            </w:r>
            <w:r>
              <w:rPr>
                <w:noProof/>
                <w:webHidden/>
              </w:rPr>
              <w:instrText xml:space="preserve"> PAGEREF _Toc66888756 \h </w:instrText>
            </w:r>
            <w:r>
              <w:rPr>
                <w:noProof/>
                <w:webHidden/>
              </w:rPr>
            </w:r>
            <w:r>
              <w:rPr>
                <w:noProof/>
                <w:webHidden/>
              </w:rPr>
              <w:fldChar w:fldCharType="separate"/>
            </w:r>
            <w:r>
              <w:rPr>
                <w:noProof/>
                <w:webHidden/>
              </w:rPr>
              <w:t>9</w:t>
            </w:r>
            <w:r>
              <w:rPr>
                <w:noProof/>
                <w:webHidden/>
              </w:rPr>
              <w:fldChar w:fldCharType="end"/>
            </w:r>
          </w:hyperlink>
        </w:p>
        <w:p w14:paraId="63DA15FD" w14:textId="6E03E16F" w:rsidR="00FD36B6" w:rsidRDefault="00FD36B6">
          <w:pPr>
            <w:rPr>
              <w:b/>
              <w:bCs/>
              <w:noProof/>
            </w:rPr>
          </w:pPr>
          <w:r>
            <w:rPr>
              <w:b/>
              <w:bCs/>
              <w:noProof/>
            </w:rPr>
            <w:fldChar w:fldCharType="end"/>
          </w:r>
        </w:p>
      </w:sdtContent>
    </w:sdt>
    <w:p w14:paraId="6C518D9E" w14:textId="67B2114B" w:rsidR="0052205D" w:rsidRPr="00C75693" w:rsidRDefault="0052205D" w:rsidP="0068348B">
      <w:pPr>
        <w:pStyle w:val="TOCHeading"/>
        <w:rPr>
          <w:color w:val="4472C4"/>
        </w:rPr>
      </w:pPr>
      <w:bookmarkStart w:id="1" w:name="_Toc66888747"/>
      <w:r w:rsidRPr="00C75693">
        <w:rPr>
          <w:color w:val="4472C4"/>
        </w:rPr>
        <w:t>Introduction</w:t>
      </w:r>
      <w:bookmarkEnd w:id="1"/>
    </w:p>
    <w:p w14:paraId="354E6774" w14:textId="1BE394A0" w:rsidR="0052205D" w:rsidRDefault="0052205D" w:rsidP="00250F61">
      <w:pPr>
        <w:spacing w:after="0" w:line="240" w:lineRule="auto"/>
      </w:pPr>
    </w:p>
    <w:p w14:paraId="4AE4250C" w14:textId="45019EA4" w:rsidR="00782A6C" w:rsidRDefault="0052205D" w:rsidP="0068348B">
      <w:pPr>
        <w:spacing w:after="0" w:line="240" w:lineRule="auto"/>
        <w:rPr>
          <w:rStyle w:val="eop"/>
          <w:rFonts w:asciiTheme="minorHAnsi" w:hAnsiTheme="minorHAnsi" w:cstheme="minorHAnsi"/>
        </w:rPr>
      </w:pPr>
      <w:r>
        <w:rPr>
          <w:color w:val="000000" w:themeColor="text1"/>
        </w:rPr>
        <w:t>This</w:t>
      </w:r>
      <w:r w:rsidRPr="001561C2">
        <w:rPr>
          <w:color w:val="000000" w:themeColor="text1"/>
        </w:rPr>
        <w:t xml:space="preserve"> problem formulation provide</w:t>
      </w:r>
      <w:r>
        <w:rPr>
          <w:color w:val="000000" w:themeColor="text1"/>
        </w:rPr>
        <w:t>s</w:t>
      </w:r>
      <w:r w:rsidRPr="001561C2">
        <w:rPr>
          <w:color w:val="000000" w:themeColor="text1"/>
        </w:rPr>
        <w:t xml:space="preserve"> the foundation for </w:t>
      </w:r>
      <w:r>
        <w:rPr>
          <w:rStyle w:val="eop"/>
          <w:rFonts w:asciiTheme="minorHAnsi" w:hAnsiTheme="minorHAnsi" w:cstheme="minorHAnsi"/>
        </w:rPr>
        <w:t>the carbaryl</w:t>
      </w:r>
      <w:r w:rsidRPr="001561C2">
        <w:rPr>
          <w:rStyle w:val="eop"/>
          <w:rFonts w:asciiTheme="minorHAnsi" w:hAnsiTheme="minorHAnsi" w:cstheme="minorHAnsi"/>
        </w:rPr>
        <w:t xml:space="preserve"> Biological Evaluation (BE) for all federally listed endangered and threatened species, as well as those that are proposed and candidates for listing and experimental populations (in sum referred to as “listed species”). This BE also includes </w:t>
      </w:r>
      <w:r>
        <w:rPr>
          <w:rStyle w:val="eop"/>
          <w:rFonts w:asciiTheme="minorHAnsi" w:hAnsiTheme="minorHAnsi" w:cstheme="minorHAnsi"/>
        </w:rPr>
        <w:t xml:space="preserve">an analysis of </w:t>
      </w:r>
      <w:r w:rsidRPr="001561C2">
        <w:rPr>
          <w:rStyle w:val="eop"/>
          <w:rFonts w:asciiTheme="minorHAnsi" w:hAnsiTheme="minorHAnsi" w:cstheme="minorHAnsi"/>
        </w:rPr>
        <w:t>designated critical habitats.</w:t>
      </w:r>
      <w:r w:rsidDel="004F4417">
        <w:t xml:space="preserve"> </w:t>
      </w:r>
      <w:r w:rsidR="00782A6C" w:rsidRPr="001561C2">
        <w:rPr>
          <w:rFonts w:asciiTheme="minorHAnsi" w:hAnsiTheme="minorHAnsi" w:cstheme="minorHAnsi"/>
        </w:rPr>
        <w:t xml:space="preserve">The methods employed in this </w:t>
      </w:r>
      <w:r w:rsidR="00782A6C">
        <w:rPr>
          <w:rFonts w:asciiTheme="minorHAnsi" w:hAnsiTheme="minorHAnsi" w:cstheme="minorHAnsi"/>
        </w:rPr>
        <w:t>BE</w:t>
      </w:r>
      <w:r w:rsidR="00782A6C" w:rsidRPr="001561C2">
        <w:rPr>
          <w:rFonts w:asciiTheme="minorHAnsi" w:hAnsiTheme="minorHAnsi" w:cstheme="minorHAnsi"/>
        </w:rPr>
        <w:t xml:space="preserve"> follow the </w:t>
      </w:r>
      <w:r w:rsidR="00782A6C" w:rsidRPr="001561C2">
        <w:rPr>
          <w:rStyle w:val="normaltextrun"/>
          <w:rFonts w:asciiTheme="minorHAnsi" w:hAnsiTheme="minorHAnsi" w:cstheme="minorHAnsi"/>
          <w:bCs/>
        </w:rPr>
        <w:t>Revised Method</w:t>
      </w:r>
      <w:r w:rsidR="00782A6C" w:rsidRPr="001561C2">
        <w:rPr>
          <w:rStyle w:val="eop"/>
          <w:rFonts w:asciiTheme="minorHAnsi" w:hAnsiTheme="minorHAnsi" w:cstheme="minorHAnsi"/>
        </w:rPr>
        <w:t> </w:t>
      </w:r>
      <w:r w:rsidR="00782A6C" w:rsidRPr="001561C2">
        <w:rPr>
          <w:rStyle w:val="normaltextrun"/>
          <w:rFonts w:asciiTheme="minorHAnsi" w:hAnsiTheme="minorHAnsi" w:cstheme="minorHAnsi"/>
          <w:bCs/>
        </w:rPr>
        <w:t xml:space="preserve">for National Level </w:t>
      </w:r>
      <w:r w:rsidR="00622820">
        <w:rPr>
          <w:rStyle w:val="normaltextrun"/>
          <w:rFonts w:asciiTheme="minorHAnsi" w:hAnsiTheme="minorHAnsi" w:cstheme="minorHAnsi"/>
          <w:bCs/>
        </w:rPr>
        <w:t>Listed</w:t>
      </w:r>
      <w:r w:rsidR="00782A6C" w:rsidRPr="001561C2">
        <w:rPr>
          <w:rStyle w:val="normaltextrun"/>
          <w:rFonts w:asciiTheme="minorHAnsi" w:hAnsiTheme="minorHAnsi" w:cstheme="minorHAnsi"/>
          <w:bCs/>
        </w:rPr>
        <w:t xml:space="preserve"> Species Biological Evaluations</w:t>
      </w:r>
      <w:r w:rsidR="0099509E">
        <w:rPr>
          <w:rStyle w:val="normaltextrun"/>
          <w:rFonts w:asciiTheme="minorHAnsi" w:hAnsiTheme="minorHAnsi" w:cstheme="minorHAnsi"/>
          <w:bCs/>
        </w:rPr>
        <w:t xml:space="preserve"> o</w:t>
      </w:r>
      <w:r w:rsidR="00782A6C" w:rsidRPr="001561C2">
        <w:rPr>
          <w:rStyle w:val="normaltextrun"/>
          <w:rFonts w:asciiTheme="minorHAnsi" w:hAnsiTheme="minorHAnsi" w:cstheme="minorHAnsi"/>
          <w:bCs/>
        </w:rPr>
        <w:t>f Conventional Pesticides</w:t>
      </w:r>
      <w:r w:rsidR="00782A6C" w:rsidRPr="001561C2">
        <w:rPr>
          <w:rStyle w:val="eop"/>
          <w:rFonts w:asciiTheme="minorHAnsi" w:hAnsiTheme="minorHAnsi" w:cstheme="minorHAnsi"/>
        </w:rPr>
        <w:t> (referred to as the “</w:t>
      </w:r>
      <w:r w:rsidR="00D8605B">
        <w:rPr>
          <w:rStyle w:val="eop"/>
          <w:rFonts w:asciiTheme="minorHAnsi" w:hAnsiTheme="minorHAnsi" w:cstheme="minorHAnsi"/>
        </w:rPr>
        <w:t>R</w:t>
      </w:r>
      <w:r w:rsidR="00782A6C" w:rsidRPr="001561C2">
        <w:rPr>
          <w:rStyle w:val="eop"/>
          <w:rFonts w:asciiTheme="minorHAnsi" w:hAnsiTheme="minorHAnsi" w:cstheme="minorHAnsi"/>
        </w:rPr>
        <w:t xml:space="preserve">evised </w:t>
      </w:r>
      <w:r w:rsidR="00D8605B">
        <w:rPr>
          <w:rStyle w:val="eop"/>
          <w:rFonts w:asciiTheme="minorHAnsi" w:hAnsiTheme="minorHAnsi" w:cstheme="minorHAnsi"/>
        </w:rPr>
        <w:t>M</w:t>
      </w:r>
      <w:r w:rsidR="00782A6C" w:rsidRPr="001561C2">
        <w:rPr>
          <w:rStyle w:val="eop"/>
          <w:rFonts w:asciiTheme="minorHAnsi" w:hAnsiTheme="minorHAnsi" w:cstheme="minorHAnsi"/>
        </w:rPr>
        <w:t>ethod”)</w:t>
      </w:r>
      <w:r w:rsidR="00782A6C">
        <w:rPr>
          <w:rStyle w:val="FootnoteReference"/>
          <w:rFonts w:asciiTheme="minorHAnsi" w:hAnsiTheme="minorHAnsi" w:cstheme="minorHAnsi"/>
        </w:rPr>
        <w:footnoteReference w:id="2"/>
      </w:r>
      <w:r w:rsidR="00782A6C" w:rsidRPr="001561C2">
        <w:rPr>
          <w:rStyle w:val="eop"/>
          <w:rFonts w:asciiTheme="minorHAnsi" w:hAnsiTheme="minorHAnsi" w:cstheme="minorHAnsi"/>
        </w:rPr>
        <w:t xml:space="preserve">. The assessment for </w:t>
      </w:r>
      <w:r w:rsidR="00782A6C">
        <w:rPr>
          <w:rStyle w:val="eop"/>
          <w:rFonts w:asciiTheme="minorHAnsi" w:hAnsiTheme="minorHAnsi" w:cstheme="minorHAnsi"/>
        </w:rPr>
        <w:t>carbaryl</w:t>
      </w:r>
      <w:r w:rsidR="00782A6C" w:rsidRPr="001561C2">
        <w:rPr>
          <w:rStyle w:val="eop"/>
          <w:rFonts w:asciiTheme="minorHAnsi" w:hAnsiTheme="minorHAnsi" w:cstheme="minorHAnsi"/>
        </w:rPr>
        <w:t xml:space="preserve"> represents EPA’s Biological Evaluation (BE) for all federally listed species</w:t>
      </w:r>
      <w:r w:rsidR="00782A6C">
        <w:rPr>
          <w:rStyle w:val="eop"/>
          <w:rFonts w:asciiTheme="minorHAnsi" w:hAnsiTheme="minorHAnsi" w:cstheme="minorHAnsi"/>
        </w:rPr>
        <w:t xml:space="preserve"> and </w:t>
      </w:r>
      <w:r w:rsidR="00782A6C" w:rsidRPr="001561C2">
        <w:rPr>
          <w:rStyle w:val="eop"/>
          <w:rFonts w:asciiTheme="minorHAnsi" w:hAnsiTheme="minorHAnsi" w:cstheme="minorHAnsi"/>
        </w:rPr>
        <w:t xml:space="preserve">designated critical habitats. </w:t>
      </w:r>
      <w:r w:rsidR="00182F19">
        <w:rPr>
          <w:rStyle w:val="eop"/>
          <w:rFonts w:asciiTheme="minorHAnsi" w:hAnsiTheme="minorHAnsi" w:cstheme="minorHAnsi"/>
        </w:rPr>
        <w:t xml:space="preserve"> </w:t>
      </w:r>
    </w:p>
    <w:p w14:paraId="5F43E63A" w14:textId="77777777" w:rsidR="00782A6C" w:rsidRDefault="00782A6C" w:rsidP="0052205D">
      <w:pPr>
        <w:spacing w:after="0" w:line="240" w:lineRule="auto"/>
      </w:pPr>
    </w:p>
    <w:p w14:paraId="40BB9FBC" w14:textId="4FB8DA0F" w:rsidR="0052205D" w:rsidRDefault="0052205D" w:rsidP="0052205D">
      <w:pPr>
        <w:spacing w:after="0" w:line="240" w:lineRule="auto"/>
        <w:rPr>
          <w:color w:val="000000" w:themeColor="text1"/>
        </w:rPr>
      </w:pPr>
      <w:r>
        <w:rPr>
          <w:color w:val="000000" w:themeColor="text1"/>
        </w:rPr>
        <w:t xml:space="preserve">Included in this chapter is a description of </w:t>
      </w:r>
      <w:r w:rsidR="00782A6C">
        <w:rPr>
          <w:color w:val="000000" w:themeColor="text1"/>
        </w:rPr>
        <w:t xml:space="preserve">the federal action; </w:t>
      </w:r>
      <w:r>
        <w:rPr>
          <w:color w:val="000000" w:themeColor="text1"/>
        </w:rPr>
        <w:t xml:space="preserve">the mode and mechanism of action of carbaryl; summaries of its uses (based on registered product labels), usage, and fate; definition of the residue of concern; an analysis plan for how the risk assessment will be conducted and a brief summary of previous FIFRA risk conclusions as well as listed </w:t>
      </w:r>
      <w:r w:rsidRPr="00C67EFD">
        <w:rPr>
          <w:color w:val="000000" w:themeColor="text1"/>
        </w:rPr>
        <w:t xml:space="preserve">species assessments. </w:t>
      </w:r>
      <w:r w:rsidRPr="00DD0C13">
        <w:rPr>
          <w:color w:val="000000" w:themeColor="text1"/>
        </w:rPr>
        <w:t xml:space="preserve">As part of the </w:t>
      </w:r>
      <w:r>
        <w:rPr>
          <w:color w:val="000000" w:themeColor="text1"/>
        </w:rPr>
        <w:t xml:space="preserve">FIFRA </w:t>
      </w:r>
      <w:r w:rsidRPr="00DD0C13">
        <w:rPr>
          <w:color w:val="000000" w:themeColor="text1"/>
        </w:rPr>
        <w:t xml:space="preserve">registration review process, a detailed Problem Formulation for the </w:t>
      </w:r>
      <w:r w:rsidR="00585A77">
        <w:rPr>
          <w:color w:val="000000" w:themeColor="text1"/>
        </w:rPr>
        <w:t xml:space="preserve">FIFRA </w:t>
      </w:r>
      <w:r w:rsidRPr="00DD0C13">
        <w:rPr>
          <w:color w:val="000000" w:themeColor="text1"/>
        </w:rPr>
        <w:t>ecological risk assessment of carbaryl was finalized in September 2010</w:t>
      </w:r>
      <w:r w:rsidRPr="00DD0C13">
        <w:rPr>
          <w:rStyle w:val="FootnoteReference"/>
          <w:color w:val="000000" w:themeColor="text1"/>
        </w:rPr>
        <w:footnoteReference w:id="3"/>
      </w:r>
      <w:r w:rsidRPr="00DD0C13">
        <w:rPr>
          <w:color w:val="000000" w:themeColor="text1"/>
        </w:rPr>
        <w:t xml:space="preserve"> </w:t>
      </w:r>
      <w:r w:rsidRPr="00DD0C13">
        <w:rPr>
          <w:color w:val="000000" w:themeColor="text1"/>
        </w:rPr>
        <w:fldChar w:fldCharType="begin"/>
      </w:r>
      <w:r w:rsidRPr="00DD0C13">
        <w:rPr>
          <w:color w:val="000000" w:themeColor="text1"/>
        </w:rPr>
        <w:instrText xml:space="preserve"> ADDIN EN.CITE &lt;EndNote&gt;&lt;Cite&gt;&lt;Author&gt;USEPA&lt;/Author&gt;&lt;Year&gt;2010&lt;/Year&gt;&lt;RecNum&gt;5223&lt;/RecNum&gt;&lt;DisplayText&gt;(USEPA, 2010, DP Barcode D374937)&lt;/DisplayText&gt;&lt;record&gt;&lt;rec-number&gt;5223&lt;/rec-number&gt;&lt;foreign-keys&gt;&lt;key app="EN" db-id="s0xer2w2o0xwx3e0a0tx0sz3zradttw529er" timestamp="1580839586" guid="b6e25a9c-25a8-4d8d-a439-185720ebd046"&gt;5223&lt;/key&gt;&lt;/foreign-keys&gt;&lt;ref-type name="EPA Document"&gt;51&lt;/ref-type&gt;&lt;contributors&gt;&lt;authors&gt;&lt;author&gt;USEPA&lt;/author&gt;&lt;/authors&gt;&lt;/contributors&gt;&lt;titles&gt;&lt;title&gt;Registration Review - Preliminary Problem Formulatoin for Ecological Risk and Environmental Fate, Endangered Species, and Drinking Water Assessments for Carbaryl (PC Code 056801; DP barcode D374937)&lt;/title&gt;&lt;secondary-title&gt;September 3, 2010&lt;/secondary-title&gt;&lt;tertiary-title&gt;Environmental Fate and Effects Division. Office of Pesticide Programs. U.S. Environmental Protection Agency&lt;/tertiary-title&gt;&lt;/titles&gt;&lt;dates&gt;&lt;year&gt;2010&lt;/year&gt;&lt;/dates&gt;&lt;urls&gt;&lt;related-urls&gt;&lt;url&gt;https://www.regulations.gov/document?D=EPA-HQ-OPP-2010-0230-0004&lt;/url&gt;&lt;/related-urls&gt;&lt;/urls&gt;&lt;custom1&gt;DP Barcode D374937&lt;/custom1&gt;&lt;access-date&gt;February 2020&lt;/access-date&gt;&lt;/record&gt;&lt;/Cite&gt;&lt;/EndNote&gt;</w:instrText>
      </w:r>
      <w:r w:rsidRPr="00DD0C13">
        <w:rPr>
          <w:color w:val="000000" w:themeColor="text1"/>
        </w:rPr>
        <w:fldChar w:fldCharType="separate"/>
      </w:r>
      <w:r w:rsidRPr="00DD0C13">
        <w:rPr>
          <w:noProof/>
          <w:color w:val="000000" w:themeColor="text1"/>
        </w:rPr>
        <w:t>(USEPA, 2010, DP Barcode D374937)</w:t>
      </w:r>
      <w:r w:rsidRPr="00DD0C13">
        <w:rPr>
          <w:color w:val="000000" w:themeColor="text1"/>
        </w:rPr>
        <w:fldChar w:fldCharType="end"/>
      </w:r>
      <w:r w:rsidRPr="00DD0C13">
        <w:rPr>
          <w:color w:val="000000" w:themeColor="text1"/>
        </w:rPr>
        <w:t>.</w:t>
      </w:r>
      <w:r>
        <w:rPr>
          <w:color w:val="000000" w:themeColor="text1"/>
        </w:rPr>
        <w:t xml:space="preserve"> The problem formulation considered data needs for both a FIFRA ecological risk assessment and an assessment for potential impacts on listed species.</w:t>
      </w:r>
    </w:p>
    <w:p w14:paraId="12456731" w14:textId="77777777" w:rsidR="0099509E" w:rsidRDefault="0099509E" w:rsidP="0052205D">
      <w:pPr>
        <w:spacing w:after="0" w:line="240" w:lineRule="auto"/>
        <w:rPr>
          <w:color w:val="000000" w:themeColor="text1"/>
        </w:rPr>
      </w:pPr>
    </w:p>
    <w:p w14:paraId="6E26D177" w14:textId="12B95DD6" w:rsidR="00223803" w:rsidRPr="00C75693" w:rsidRDefault="00223803" w:rsidP="003225D4">
      <w:pPr>
        <w:pStyle w:val="TOCHeading"/>
        <w:rPr>
          <w:color w:val="4472C4"/>
        </w:rPr>
      </w:pPr>
      <w:bookmarkStart w:id="2" w:name="_Toc66888748"/>
      <w:bookmarkEnd w:id="0"/>
      <w:r w:rsidRPr="00C75693">
        <w:rPr>
          <w:color w:val="4472C4"/>
        </w:rPr>
        <w:t>Description of the Federal Action</w:t>
      </w:r>
      <w:bookmarkEnd w:id="2"/>
      <w:r w:rsidRPr="00C75693">
        <w:rPr>
          <w:color w:val="4472C4"/>
        </w:rPr>
        <w:t xml:space="preserve"> </w:t>
      </w:r>
    </w:p>
    <w:p w14:paraId="180FE39D" w14:textId="77777777" w:rsidR="00223803" w:rsidRDefault="00223803" w:rsidP="00F64FD7">
      <w:pPr>
        <w:keepNext/>
        <w:spacing w:after="0" w:line="240" w:lineRule="auto"/>
      </w:pPr>
    </w:p>
    <w:p w14:paraId="009ADA0A" w14:textId="4073690F" w:rsidR="00A16F9F" w:rsidRDefault="00A16F9F" w:rsidP="00F64FD7">
      <w:pPr>
        <w:keepNext/>
        <w:spacing w:after="0" w:line="240" w:lineRule="auto"/>
      </w:pPr>
      <w:r w:rsidRPr="001561C2">
        <w:t xml:space="preserve">In 2006, </w:t>
      </w:r>
      <w:r w:rsidR="00D907AF" w:rsidRPr="001561C2">
        <w:t xml:space="preserve">U.S. Environmental Protection Agency </w:t>
      </w:r>
      <w:r w:rsidR="00D907AF">
        <w:t>(</w:t>
      </w:r>
      <w:r w:rsidRPr="001561C2">
        <w:t>EPA</w:t>
      </w:r>
      <w:r w:rsidR="00D907AF">
        <w:t>)</w:t>
      </w:r>
      <w:r w:rsidRPr="001561C2">
        <w:t xml:space="preserve"> initiated Registration Review to reevaluate all pesticides on a regular cycle. EPA is required to review each pesticide active ingredient at least every 15 years to make sure that </w:t>
      </w:r>
      <w:r w:rsidR="00387A73">
        <w:t>it h</w:t>
      </w:r>
      <w:r w:rsidRPr="001561C2">
        <w:t xml:space="preserve">as the ability to assess risks to human health and the environment </w:t>
      </w:r>
      <w:r w:rsidR="00387A73">
        <w:t xml:space="preserve">as science </w:t>
      </w:r>
      <w:r w:rsidRPr="001561C2">
        <w:t xml:space="preserve">evolves and policies and practices </w:t>
      </w:r>
      <w:r w:rsidR="00D13629">
        <w:t xml:space="preserve">may </w:t>
      </w:r>
      <w:r w:rsidRPr="001561C2">
        <w:t xml:space="preserve">change, </w:t>
      </w:r>
      <w:bookmarkStart w:id="3" w:name="_Hlk33448916"/>
      <w:r w:rsidRPr="001561C2">
        <w:t xml:space="preserve">all pesticide products in the marketplace </w:t>
      </w:r>
      <w:r w:rsidR="00D13629">
        <w:t>continue to meet the standard of registration</w:t>
      </w:r>
      <w:bookmarkEnd w:id="3"/>
      <w:r w:rsidRPr="001561C2">
        <w:t xml:space="preserve">. Registration </w:t>
      </w:r>
      <w:r w:rsidR="006E1D0C">
        <w:t>R</w:t>
      </w:r>
      <w:r w:rsidRPr="001561C2">
        <w:t xml:space="preserve">eview includes labels registered under Sections 3, 24(c), and 18 of </w:t>
      </w:r>
      <w:r>
        <w:t xml:space="preserve">the </w:t>
      </w:r>
      <w:r w:rsidRPr="001561C2">
        <w:rPr>
          <w:color w:val="000000" w:themeColor="text1"/>
        </w:rPr>
        <w:t>Federal Insecticide Fungicide Rodenticide Act (FIFRA)</w:t>
      </w:r>
      <w:r w:rsidRPr="001561C2">
        <w:t xml:space="preserve">.  </w:t>
      </w:r>
      <w:r w:rsidR="00FD3570">
        <w:t xml:space="preserve">The federal action of </w:t>
      </w:r>
      <w:r w:rsidR="00717C0B">
        <w:t>R</w:t>
      </w:r>
      <w:r w:rsidR="00FD3570">
        <w:t xml:space="preserve">egistration </w:t>
      </w:r>
      <w:r w:rsidR="00717C0B">
        <w:t>R</w:t>
      </w:r>
      <w:r w:rsidR="00FD3570">
        <w:t xml:space="preserve">eview for carbaryl </w:t>
      </w:r>
      <w:r w:rsidRPr="001561C2">
        <w:t xml:space="preserve">encompasses the </w:t>
      </w:r>
      <w:r w:rsidR="00B335E7">
        <w:t>review of all the</w:t>
      </w:r>
      <w:r w:rsidRPr="001561C2">
        <w:t xml:space="preserve"> regist</w:t>
      </w:r>
      <w:r w:rsidR="00B335E7">
        <w:t>ered</w:t>
      </w:r>
      <w:r w:rsidRPr="001561C2">
        <w:t xml:space="preserve"> uses</w:t>
      </w:r>
      <w:r w:rsidR="001944FF">
        <w:t xml:space="preserve">, </w:t>
      </w:r>
      <w:r w:rsidR="00B335E7">
        <w:t xml:space="preserve">and the </w:t>
      </w:r>
      <w:r w:rsidR="001944FF">
        <w:t xml:space="preserve">approved </w:t>
      </w:r>
      <w:r w:rsidRPr="001561C2">
        <w:t>product labels</w:t>
      </w:r>
      <w:r w:rsidR="001944FF">
        <w:t xml:space="preserve"> for </w:t>
      </w:r>
      <w:r w:rsidRPr="001561C2">
        <w:t xml:space="preserve">all pesticide products containing </w:t>
      </w:r>
      <w:r w:rsidR="00113D0A">
        <w:t>carbaryl</w:t>
      </w:r>
      <w:r w:rsidRPr="001561C2">
        <w:t xml:space="preserve">.   </w:t>
      </w:r>
    </w:p>
    <w:p w14:paraId="0DD91778" w14:textId="77777777" w:rsidR="001511FE" w:rsidRDefault="001511FE" w:rsidP="001511FE">
      <w:pPr>
        <w:spacing w:after="0" w:line="240" w:lineRule="auto"/>
        <w:rPr>
          <w:color w:val="000000" w:themeColor="text1"/>
        </w:rPr>
      </w:pPr>
    </w:p>
    <w:p w14:paraId="3F0660E4" w14:textId="317936B9" w:rsidR="00223803" w:rsidRPr="00C75693" w:rsidRDefault="00223803" w:rsidP="001511FE">
      <w:pPr>
        <w:pStyle w:val="TOCHeading"/>
        <w:rPr>
          <w:color w:val="4472C4"/>
        </w:rPr>
      </w:pPr>
      <w:bookmarkStart w:id="4" w:name="_Toc31220272"/>
      <w:bookmarkStart w:id="5" w:name="_Toc66888749"/>
      <w:r w:rsidRPr="00C75693">
        <w:rPr>
          <w:color w:val="4472C4"/>
        </w:rPr>
        <w:t>Mode and Mechanism of Action</w:t>
      </w:r>
      <w:bookmarkEnd w:id="4"/>
      <w:bookmarkEnd w:id="5"/>
      <w:r w:rsidRPr="00C75693">
        <w:rPr>
          <w:color w:val="4472C4"/>
        </w:rPr>
        <w:t xml:space="preserve"> </w:t>
      </w:r>
    </w:p>
    <w:p w14:paraId="72BFF2E7" w14:textId="77777777" w:rsidR="00223803" w:rsidRPr="00BB3BB8" w:rsidRDefault="00223803" w:rsidP="001511FE">
      <w:pPr>
        <w:keepNext/>
        <w:keepLines/>
        <w:spacing w:after="0" w:line="240" w:lineRule="auto"/>
      </w:pPr>
    </w:p>
    <w:p w14:paraId="2370785E" w14:textId="637ED0C7" w:rsidR="00EF036D" w:rsidRPr="00DD0C13" w:rsidRDefault="00FB64E6" w:rsidP="001511FE">
      <w:pPr>
        <w:spacing w:after="0" w:line="240" w:lineRule="auto"/>
      </w:pPr>
      <w:r w:rsidRPr="00DD0C13">
        <w:t>Carbaryl is an N-methylcarbamate insecticide</w:t>
      </w:r>
      <w:r w:rsidR="004F482F" w:rsidRPr="00DD0C13">
        <w:t>.</w:t>
      </w:r>
      <w:r w:rsidRPr="00DD0C13">
        <w:t xml:space="preserve"> </w:t>
      </w:r>
      <w:r w:rsidR="00EF036D" w:rsidRPr="00DD0C13">
        <w:t>N-methylc</w:t>
      </w:r>
      <w:r w:rsidR="00223803" w:rsidRPr="00DD0C13">
        <w:t>arbamate insecticides act by inhibiting acetylcholinesterase, thereby reducing the degradation of the cholinergic neurotransmitter acetylcholine.  As a result, inter</w:t>
      </w:r>
      <w:r w:rsidR="000848C1" w:rsidRPr="00DD0C13">
        <w:t>-</w:t>
      </w:r>
      <w:r w:rsidR="00223803" w:rsidRPr="00DD0C13">
        <w:t>synaptic concentrations of acetylcholine increase as the neurotransmitter accumulates</w:t>
      </w:r>
      <w:r w:rsidR="00EF036D" w:rsidRPr="00DD0C13">
        <w:t>,</w:t>
      </w:r>
      <w:r w:rsidR="00223803" w:rsidRPr="00DD0C13">
        <w:t xml:space="preserve"> leading to increased firing of the postsynaptic neurons.  This may ultimately lead to convulsions, paralysis, and death of an organism exposed to the chemical.  Acetylcholinesterase inhibition is rapidly reversed in many taxa once exposure to an N-methylcarbamate insecticide has ended.</w:t>
      </w:r>
      <w:r w:rsidR="00353049" w:rsidRPr="00DD0C13">
        <w:t xml:space="preserve"> </w:t>
      </w:r>
    </w:p>
    <w:p w14:paraId="55DD77C8" w14:textId="77777777" w:rsidR="00EF036D" w:rsidRPr="00DD0C13" w:rsidRDefault="00EF036D" w:rsidP="001511FE">
      <w:pPr>
        <w:spacing w:after="0" w:line="240" w:lineRule="auto"/>
      </w:pPr>
    </w:p>
    <w:p w14:paraId="51CC4ABD" w14:textId="5D1E3807" w:rsidR="00261596" w:rsidRDefault="00353049" w:rsidP="001511FE">
      <w:pPr>
        <w:spacing w:after="0" w:line="240" w:lineRule="auto"/>
      </w:pPr>
      <w:r w:rsidRPr="00DD0C13">
        <w:t>Carbaryl</w:t>
      </w:r>
      <w:r w:rsidR="00EF036D" w:rsidRPr="00DD0C13">
        <w:t xml:space="preserve"> is also used as a plant growth regulator </w:t>
      </w:r>
      <w:r w:rsidRPr="00DD0C13">
        <w:t>to thin</w:t>
      </w:r>
      <w:r w:rsidR="00172611" w:rsidRPr="00DD0C13">
        <w:t xml:space="preserve"> blossoms</w:t>
      </w:r>
      <w:r w:rsidRPr="00DD0C13">
        <w:t xml:space="preserve"> in orchards</w:t>
      </w:r>
      <w:r w:rsidR="00EF036D" w:rsidRPr="00DD0C13">
        <w:t xml:space="preserve">. </w:t>
      </w:r>
      <w:r w:rsidRPr="00DD0C13">
        <w:t xml:space="preserve"> </w:t>
      </w:r>
      <w:r w:rsidR="00EF036D" w:rsidRPr="00DD0C13">
        <w:t>Carbaryl’s</w:t>
      </w:r>
      <w:r w:rsidRPr="00DD0C13">
        <w:t xml:space="preserve"> activity in the abscission of flower buds may be related to its structural similarity to plant auxins, such as α-naphthalene acetic acid.</w:t>
      </w:r>
    </w:p>
    <w:p w14:paraId="52604FD2" w14:textId="77777777" w:rsidR="00D3266C" w:rsidRPr="005A3707" w:rsidRDefault="00D3266C" w:rsidP="001511FE">
      <w:pPr>
        <w:spacing w:after="0" w:line="240" w:lineRule="auto"/>
      </w:pPr>
    </w:p>
    <w:p w14:paraId="008AE072" w14:textId="629B72E2" w:rsidR="00602F72" w:rsidRPr="00C75693" w:rsidRDefault="00833C39" w:rsidP="00D3266C">
      <w:pPr>
        <w:pStyle w:val="TOCHeading"/>
        <w:rPr>
          <w:color w:val="4472C4"/>
        </w:rPr>
      </w:pPr>
      <w:bookmarkStart w:id="6" w:name="_Toc31220269"/>
      <w:bookmarkStart w:id="7" w:name="_Toc66888750"/>
      <w:r w:rsidRPr="00C75693">
        <w:rPr>
          <w:color w:val="4472C4"/>
        </w:rPr>
        <w:t>Use and Usage Characterization</w:t>
      </w:r>
      <w:bookmarkEnd w:id="6"/>
      <w:bookmarkEnd w:id="7"/>
      <w:r w:rsidR="0008217F" w:rsidRPr="00C75693">
        <w:rPr>
          <w:color w:val="4472C4"/>
        </w:rPr>
        <w:fldChar w:fldCharType="begin"/>
      </w:r>
      <w:r w:rsidR="0008217F" w:rsidRPr="00C75693">
        <w:rPr>
          <w:color w:val="4472C4"/>
        </w:rPr>
        <w:instrText xml:space="preserve"> HYPERLINK "http://epa.gov/pesticides/fifra6a2/" \h </w:instrText>
      </w:r>
      <w:r w:rsidR="0008217F" w:rsidRPr="00C75693">
        <w:rPr>
          <w:color w:val="4472C4"/>
        </w:rPr>
        <w:fldChar w:fldCharType="end"/>
      </w:r>
    </w:p>
    <w:p w14:paraId="00F2C643" w14:textId="77777777" w:rsidR="0099509E" w:rsidRDefault="0099509E" w:rsidP="00F01F1D">
      <w:pPr>
        <w:spacing w:after="0" w:line="240" w:lineRule="auto"/>
      </w:pPr>
    </w:p>
    <w:p w14:paraId="2C77A122" w14:textId="6B30E2F4" w:rsidR="00FC06AE" w:rsidRDefault="0099509E" w:rsidP="00F01F1D">
      <w:pPr>
        <w:spacing w:after="0" w:line="240" w:lineRule="auto"/>
      </w:pPr>
      <w:r>
        <w:t xml:space="preserve">Use data </w:t>
      </w:r>
      <w:r w:rsidR="003670D3">
        <w:t xml:space="preserve">are based on registered product labels and include pesticide </w:t>
      </w:r>
      <w:r>
        <w:t xml:space="preserve">application information </w:t>
      </w:r>
      <w:r w:rsidR="003670D3">
        <w:t>relevant to a</w:t>
      </w:r>
      <w:r>
        <w:t xml:space="preserve"> treatment site</w:t>
      </w:r>
      <w:r w:rsidR="009C12B1">
        <w:t xml:space="preserve"> (</w:t>
      </w:r>
      <w:r w:rsidR="009C12B1" w:rsidRPr="00294274">
        <w:rPr>
          <w:i/>
          <w:iCs/>
        </w:rPr>
        <w:t>e.g.</w:t>
      </w:r>
      <w:r w:rsidR="009C12B1">
        <w:t>, an orchard)</w:t>
      </w:r>
      <w:r>
        <w:t xml:space="preserve">. </w:t>
      </w:r>
      <w:r w:rsidR="009C12B1">
        <w:t>EPA determines the u</w:t>
      </w:r>
      <w:r w:rsidR="009C12B1" w:rsidRPr="00DD0C13">
        <w:t>se</w:t>
      </w:r>
      <w:r w:rsidR="009C12B1">
        <w:t>s</w:t>
      </w:r>
      <w:r w:rsidR="009C12B1" w:rsidRPr="00DD0C13">
        <w:t xml:space="preserve"> based on registered labels and define crop or non-crop sites to which a pesticide may be applied. Use data also describe the maximum application rates, method (</w:t>
      </w:r>
      <w:r w:rsidR="009C12B1" w:rsidRPr="00DD0C13">
        <w:rPr>
          <w:i/>
        </w:rPr>
        <w:t>e.g.,</w:t>
      </w:r>
      <w:r w:rsidR="009C12B1" w:rsidRPr="00DD0C13">
        <w:t xml:space="preserve"> aerial or ground spray), re-treatment intervals and number of applications that may occur according to registered product labels.</w:t>
      </w:r>
    </w:p>
    <w:p w14:paraId="71BD6598" w14:textId="77777777" w:rsidR="00FC06AE" w:rsidRDefault="00FC06AE" w:rsidP="00F01F1D">
      <w:pPr>
        <w:spacing w:after="0" w:line="240" w:lineRule="auto"/>
      </w:pPr>
    </w:p>
    <w:p w14:paraId="1E815D8B" w14:textId="4ECFDDC0" w:rsidR="001561C2" w:rsidRPr="001561C2" w:rsidRDefault="0099509E" w:rsidP="00F01F1D">
      <w:pPr>
        <w:spacing w:after="0" w:line="240" w:lineRule="auto"/>
      </w:pPr>
      <w:r>
        <w:t xml:space="preserve">Usage data </w:t>
      </w:r>
      <w:r w:rsidR="003670D3">
        <w:t xml:space="preserve">describe </w:t>
      </w:r>
      <w:r>
        <w:t xml:space="preserve">how the </w:t>
      </w:r>
      <w:r w:rsidR="009C12B1">
        <w:t>pesticide</w:t>
      </w:r>
      <w:r>
        <w:t xml:space="preserve"> </w:t>
      </w:r>
      <w:r w:rsidR="003670D3">
        <w:t xml:space="preserve">has been applied to </w:t>
      </w:r>
      <w:r w:rsidR="009C12B1">
        <w:t xml:space="preserve">multiple </w:t>
      </w:r>
      <w:r w:rsidR="003670D3">
        <w:t>use sites</w:t>
      </w:r>
      <w:r w:rsidR="009C12B1">
        <w:t xml:space="preserve"> within a state, region or the US</w:t>
      </w:r>
      <w:r w:rsidR="003670D3">
        <w:t xml:space="preserve">.  </w:t>
      </w:r>
      <w:r w:rsidR="003671E6">
        <w:t>EPA also reviews actual u</w:t>
      </w:r>
      <w:r w:rsidR="00833C39" w:rsidRPr="00DD0C13">
        <w:t xml:space="preserve">sage data </w:t>
      </w:r>
      <w:r w:rsidR="003671E6">
        <w:t xml:space="preserve">that </w:t>
      </w:r>
      <w:r w:rsidR="00833C39" w:rsidRPr="00DD0C13">
        <w:t>document</w:t>
      </w:r>
      <w:r w:rsidR="003671E6">
        <w:t>s</w:t>
      </w:r>
      <w:r w:rsidR="00833C39" w:rsidRPr="00DD0C13">
        <w:t xml:space="preserve"> </w:t>
      </w:r>
      <w:r w:rsidR="003671E6">
        <w:t xml:space="preserve">the actual </w:t>
      </w:r>
      <w:r w:rsidR="00833C39" w:rsidRPr="00DD0C13">
        <w:t xml:space="preserve">applications of a pesticide, including information such as actual application rates and timing, and spatial distribution of applications </w:t>
      </w:r>
      <w:r w:rsidR="009C12B1">
        <w:t xml:space="preserve">across multiple sites </w:t>
      </w:r>
      <w:r w:rsidR="00833C39" w:rsidRPr="00DD0C13">
        <w:t xml:space="preserve">(usually based on survey data). The key difference between use and usage is potential applications vs. actual applications. </w:t>
      </w:r>
    </w:p>
    <w:p w14:paraId="6AD11EEC" w14:textId="7B2EC471" w:rsidR="00602F72" w:rsidRPr="00C75693" w:rsidRDefault="00F93B88" w:rsidP="00F01F1D">
      <w:pPr>
        <w:pStyle w:val="Heading2"/>
        <w:rPr>
          <w:color w:val="4472C4"/>
        </w:rPr>
      </w:pPr>
      <w:bookmarkStart w:id="8" w:name="_Toc31220270"/>
      <w:bookmarkStart w:id="9" w:name="_Toc66888751"/>
      <w:r w:rsidRPr="00C75693">
        <w:rPr>
          <w:color w:val="4472C4"/>
        </w:rPr>
        <w:t xml:space="preserve">Use </w:t>
      </w:r>
      <w:r w:rsidR="00D71F62" w:rsidRPr="00C75693">
        <w:rPr>
          <w:color w:val="4472C4"/>
        </w:rPr>
        <w:t>D</w:t>
      </w:r>
      <w:r w:rsidRPr="00C75693">
        <w:rPr>
          <w:color w:val="4472C4"/>
        </w:rPr>
        <w:t xml:space="preserve">ata </w:t>
      </w:r>
      <w:r w:rsidR="00833C39" w:rsidRPr="00C75693">
        <w:rPr>
          <w:color w:val="4472C4"/>
        </w:rPr>
        <w:t xml:space="preserve">(as Defined on Registered Product </w:t>
      </w:r>
      <w:r w:rsidR="00D71F62" w:rsidRPr="00C75693">
        <w:rPr>
          <w:color w:val="4472C4"/>
        </w:rPr>
        <w:t>L</w:t>
      </w:r>
      <w:r w:rsidRPr="00C75693">
        <w:rPr>
          <w:color w:val="4472C4"/>
        </w:rPr>
        <w:t>abels</w:t>
      </w:r>
      <w:r w:rsidR="00833C39" w:rsidRPr="00C75693">
        <w:rPr>
          <w:color w:val="4472C4"/>
        </w:rPr>
        <w:t>)</w:t>
      </w:r>
      <w:bookmarkEnd w:id="8"/>
      <w:bookmarkEnd w:id="9"/>
    </w:p>
    <w:p w14:paraId="0366D056" w14:textId="2A9DF706" w:rsidR="00833C39" w:rsidRPr="00025676" w:rsidRDefault="00F93B88" w:rsidP="00610075">
      <w:pPr>
        <w:keepNext/>
        <w:keepLines/>
        <w:spacing w:after="0" w:line="240" w:lineRule="auto"/>
      </w:pPr>
      <w:r w:rsidRPr="001561C2">
        <w:rPr>
          <w:i/>
          <w:color w:val="2E75B5"/>
        </w:rPr>
        <w:tab/>
      </w:r>
    </w:p>
    <w:p w14:paraId="4B4CB0F1" w14:textId="575F88C1" w:rsidR="00833C39" w:rsidRPr="00DD0C13" w:rsidRDefault="00833C39" w:rsidP="002C29BA">
      <w:pPr>
        <w:spacing w:after="0" w:line="240" w:lineRule="auto"/>
      </w:pPr>
      <w:r w:rsidRPr="00DD0C13">
        <w:t xml:space="preserve">The label on a pesticide package or container is legally enforceable. The label provides information about how to handle and safely use the pesticide product and avoid harm to human health and the environment.  Using a pesticide in a manner that is inconsistent with the use directions on the label is a violation of FIFRA and can result in enforcement actions to correct the violations. </w:t>
      </w:r>
      <w:bookmarkStart w:id="10" w:name="_Hlk33465917"/>
      <w:r w:rsidRPr="00DD0C13">
        <w:t xml:space="preserve">This </w:t>
      </w:r>
      <w:r w:rsidR="004F6473">
        <w:t>BE</w:t>
      </w:r>
      <w:r w:rsidRPr="00DD0C13">
        <w:t xml:space="preserve"> </w:t>
      </w:r>
      <w:r w:rsidR="00BD08AE">
        <w:t xml:space="preserve">assesses the </w:t>
      </w:r>
      <w:r w:rsidRPr="00DD0C13">
        <w:t xml:space="preserve">legal uses of </w:t>
      </w:r>
      <w:r w:rsidR="00B2552F" w:rsidRPr="00DD0C13">
        <w:t>carbaryl</w:t>
      </w:r>
      <w:r w:rsidRPr="00DD0C13">
        <w:t xml:space="preserve"> that are described on registered pesticide labels.</w:t>
      </w:r>
      <w:bookmarkEnd w:id="10"/>
    </w:p>
    <w:p w14:paraId="551B382D" w14:textId="1F19E955" w:rsidR="00833C39" w:rsidRPr="00DD0C13" w:rsidRDefault="00833C39" w:rsidP="002C29BA">
      <w:pPr>
        <w:spacing w:after="0" w:line="240" w:lineRule="auto"/>
      </w:pPr>
    </w:p>
    <w:p w14:paraId="59DBAF8E" w14:textId="65D057B1" w:rsidR="00602F72" w:rsidRPr="00DD0C13" w:rsidRDefault="006C3C6D" w:rsidP="003172F1">
      <w:pPr>
        <w:autoSpaceDE w:val="0"/>
        <w:autoSpaceDN w:val="0"/>
        <w:adjustRightInd w:val="0"/>
        <w:spacing w:after="0" w:line="240" w:lineRule="auto"/>
        <w:rPr>
          <w:rFonts w:asciiTheme="minorHAnsi" w:hAnsiTheme="minorHAnsi" w:cstheme="minorHAnsi"/>
          <w:color w:val="0C1510"/>
        </w:rPr>
      </w:pPr>
      <w:r w:rsidRPr="00DD0C13">
        <w:t xml:space="preserve">Carbaryl is used on a wide variety of terrestrial food and feed </w:t>
      </w:r>
      <w:r w:rsidRPr="00DD0C13">
        <w:rPr>
          <w:rFonts w:asciiTheme="minorHAnsi" w:hAnsiTheme="minorHAnsi" w:cstheme="minorHAnsi"/>
        </w:rPr>
        <w:t xml:space="preserve">crops, as well as uses in turf management, ornamental production, </w:t>
      </w:r>
      <w:r w:rsidR="00447E4D">
        <w:rPr>
          <w:rFonts w:asciiTheme="minorHAnsi" w:hAnsiTheme="minorHAnsi" w:cstheme="minorHAnsi"/>
        </w:rPr>
        <w:t xml:space="preserve">rangeland, </w:t>
      </w:r>
      <w:r w:rsidRPr="00DD0C13">
        <w:rPr>
          <w:rFonts w:asciiTheme="minorHAnsi" w:hAnsiTheme="minorHAnsi" w:cstheme="minorHAnsi"/>
        </w:rPr>
        <w:t>and residential settings.</w:t>
      </w:r>
      <w:r w:rsidR="00F93B88" w:rsidRPr="00DD0C13">
        <w:rPr>
          <w:rFonts w:asciiTheme="minorHAnsi" w:hAnsiTheme="minorHAnsi" w:cstheme="minorHAnsi"/>
        </w:rPr>
        <w:t xml:space="preserve"> </w:t>
      </w:r>
      <w:r w:rsidR="009D7FF6" w:rsidRPr="00DD0C13">
        <w:rPr>
          <w:rFonts w:asciiTheme="minorHAnsi" w:hAnsiTheme="minorHAnsi" w:cstheme="minorHAnsi"/>
          <w:color w:val="0C1510"/>
        </w:rPr>
        <w:t>Additionally, carbaryl is used to thin fruit in orchards to enhance fruit size and enhance</w:t>
      </w:r>
      <w:r w:rsidR="00A87EFD" w:rsidRPr="00DD0C13">
        <w:rPr>
          <w:rFonts w:asciiTheme="minorHAnsi" w:hAnsiTheme="minorHAnsi" w:cstheme="minorHAnsi"/>
          <w:color w:val="0C1510"/>
        </w:rPr>
        <w:t xml:space="preserve"> </w:t>
      </w:r>
      <w:r w:rsidR="009D7FF6" w:rsidRPr="00DD0C13">
        <w:rPr>
          <w:rFonts w:asciiTheme="minorHAnsi" w:hAnsiTheme="minorHAnsi" w:cstheme="minorHAnsi"/>
          <w:color w:val="0C1510"/>
        </w:rPr>
        <w:t>repeat bloom</w:t>
      </w:r>
      <w:r w:rsidR="00706CBF" w:rsidRPr="00DD0C13">
        <w:rPr>
          <w:rFonts w:asciiTheme="minorHAnsi" w:hAnsiTheme="minorHAnsi" w:cstheme="minorHAnsi"/>
          <w:color w:val="0C1510"/>
        </w:rPr>
        <w:t>.</w:t>
      </w:r>
      <w:r w:rsidR="00384AE0" w:rsidRPr="00DD0C13">
        <w:rPr>
          <w:rFonts w:asciiTheme="minorHAnsi" w:hAnsiTheme="minorHAnsi" w:cstheme="minorHAnsi"/>
          <w:color w:val="0C1510"/>
        </w:rPr>
        <w:t xml:space="preserve"> </w:t>
      </w:r>
      <w:r w:rsidR="00706CBF" w:rsidRPr="00DD0C13">
        <w:rPr>
          <w:rFonts w:asciiTheme="minorHAnsi" w:hAnsiTheme="minorHAnsi" w:cstheme="minorHAnsi"/>
          <w:color w:val="0C1510"/>
        </w:rPr>
        <w:t xml:space="preserve">Carbaryl is also used </w:t>
      </w:r>
      <w:r w:rsidR="00083179" w:rsidRPr="00DD0C13">
        <w:rPr>
          <w:rFonts w:asciiTheme="minorHAnsi" w:hAnsiTheme="minorHAnsi" w:cstheme="minorHAnsi"/>
          <w:color w:val="0C1510"/>
        </w:rPr>
        <w:t xml:space="preserve">to control mud </w:t>
      </w:r>
      <w:r w:rsidR="00706CBF" w:rsidRPr="00DD0C13">
        <w:rPr>
          <w:rFonts w:asciiTheme="minorHAnsi" w:hAnsiTheme="minorHAnsi" w:cstheme="minorHAnsi"/>
          <w:color w:val="0C1510"/>
        </w:rPr>
        <w:t xml:space="preserve">and ghost </w:t>
      </w:r>
      <w:r w:rsidR="00083179" w:rsidRPr="00DD0C13">
        <w:rPr>
          <w:rFonts w:asciiTheme="minorHAnsi" w:hAnsiTheme="minorHAnsi" w:cstheme="minorHAnsi"/>
          <w:color w:val="0C1510"/>
        </w:rPr>
        <w:t xml:space="preserve">shrimp and </w:t>
      </w:r>
      <w:r w:rsidR="000954E6" w:rsidRPr="00DD0C13">
        <w:rPr>
          <w:rFonts w:asciiTheme="minorHAnsi" w:hAnsiTheme="minorHAnsi" w:cstheme="minorHAnsi"/>
          <w:color w:val="0C1510"/>
        </w:rPr>
        <w:t>in</w:t>
      </w:r>
      <w:r w:rsidR="00384AE0" w:rsidRPr="00DD0C13">
        <w:rPr>
          <w:rFonts w:asciiTheme="minorHAnsi" w:hAnsiTheme="minorHAnsi" w:cstheme="minorHAnsi"/>
          <w:color w:val="0C1510"/>
        </w:rPr>
        <w:t xml:space="preserve"> </w:t>
      </w:r>
      <w:r w:rsidR="000954E6" w:rsidRPr="00DD0C13">
        <w:rPr>
          <w:rFonts w:asciiTheme="minorHAnsi" w:hAnsiTheme="minorHAnsi" w:cstheme="minorHAnsi"/>
          <w:color w:val="0C1510"/>
        </w:rPr>
        <w:t xml:space="preserve">commercial shrimp </w:t>
      </w:r>
      <w:r w:rsidR="00384AE0" w:rsidRPr="00DD0C13">
        <w:rPr>
          <w:rFonts w:asciiTheme="minorHAnsi" w:hAnsiTheme="minorHAnsi" w:cstheme="minorHAnsi"/>
          <w:color w:val="0C1510"/>
        </w:rPr>
        <w:t>ponds</w:t>
      </w:r>
      <w:r w:rsidR="00DF3F31" w:rsidRPr="00DD0C13">
        <w:rPr>
          <w:rFonts w:asciiTheme="minorHAnsi" w:hAnsiTheme="minorHAnsi" w:cstheme="minorHAnsi"/>
          <w:color w:val="0C1510"/>
        </w:rPr>
        <w:t xml:space="preserve"> in Texas</w:t>
      </w:r>
      <w:r w:rsidR="009D7FF6" w:rsidRPr="00DD0C13">
        <w:rPr>
          <w:rFonts w:asciiTheme="minorHAnsi" w:hAnsiTheme="minorHAnsi" w:cstheme="minorHAnsi"/>
          <w:color w:val="0C1510"/>
        </w:rPr>
        <w:t>.</w:t>
      </w:r>
      <w:r w:rsidR="009D7FF6" w:rsidRPr="00DD0C13">
        <w:rPr>
          <w:rFonts w:asciiTheme="minorHAnsi" w:hAnsiTheme="minorHAnsi" w:cstheme="minorHAnsi"/>
        </w:rPr>
        <w:t xml:space="preserve"> </w:t>
      </w:r>
      <w:r w:rsidR="00360855" w:rsidRPr="00DD0C13">
        <w:rPr>
          <w:rFonts w:asciiTheme="minorHAnsi" w:hAnsiTheme="minorHAnsi" w:cstheme="minorHAnsi"/>
        </w:rPr>
        <w:t>T</w:t>
      </w:r>
      <w:r w:rsidR="00F93B88" w:rsidRPr="00DD0C13">
        <w:rPr>
          <w:rFonts w:asciiTheme="minorHAnsi" w:hAnsiTheme="minorHAnsi" w:cstheme="minorHAnsi"/>
        </w:rPr>
        <w:t>here</w:t>
      </w:r>
      <w:r w:rsidR="00F93B88" w:rsidRPr="00DD0C13">
        <w:t xml:space="preserve"> are currently </w:t>
      </w:r>
      <w:r w:rsidR="00D67742" w:rsidRPr="00DD0C13">
        <w:t>five</w:t>
      </w:r>
      <w:r w:rsidR="00F93B88" w:rsidRPr="00DD0C13">
        <w:t xml:space="preserve"> active </w:t>
      </w:r>
      <w:r w:rsidR="00360855" w:rsidRPr="00DD0C13">
        <w:t xml:space="preserve">technical </w:t>
      </w:r>
      <w:r w:rsidR="00F93B88" w:rsidRPr="00DD0C13">
        <w:t xml:space="preserve">registrants of </w:t>
      </w:r>
      <w:r w:rsidR="00BA45C6" w:rsidRPr="00DD0C13">
        <w:t>carbaryl</w:t>
      </w:r>
      <w:r w:rsidR="00C22D0A" w:rsidRPr="00DD0C13">
        <w:t xml:space="preserve"> </w:t>
      </w:r>
      <w:r w:rsidR="00F93B88" w:rsidRPr="00DD0C13">
        <w:t xml:space="preserve">with </w:t>
      </w:r>
      <w:r w:rsidR="00597608" w:rsidRPr="00DD0C13">
        <w:t xml:space="preserve">61 </w:t>
      </w:r>
      <w:r w:rsidR="00360855" w:rsidRPr="00DD0C13">
        <w:t xml:space="preserve">active product </w:t>
      </w:r>
      <w:r w:rsidR="00D8605B">
        <w:t>registrations</w:t>
      </w:r>
      <w:r w:rsidR="00D8605B" w:rsidRPr="00DD0C13">
        <w:t xml:space="preserve"> </w:t>
      </w:r>
      <w:r w:rsidR="00360855" w:rsidRPr="00DD0C13">
        <w:t>(</w:t>
      </w:r>
      <w:r w:rsidR="00597608" w:rsidRPr="00DD0C13">
        <w:t xml:space="preserve">60 </w:t>
      </w:r>
      <w:r w:rsidR="00360855" w:rsidRPr="00DD0C13">
        <w:t>Section 3s and 1</w:t>
      </w:r>
      <w:r w:rsidR="00F93B88" w:rsidRPr="00DD0C13">
        <w:t xml:space="preserve"> Special Local Needs), which include formulated products (</w:t>
      </w:r>
      <w:r w:rsidR="00F93B88" w:rsidRPr="00DD0C13">
        <w:rPr>
          <w:b/>
        </w:rPr>
        <w:t xml:space="preserve">APPENDIX </w:t>
      </w:r>
      <w:r w:rsidR="002C58B0" w:rsidRPr="00DD0C13">
        <w:rPr>
          <w:b/>
        </w:rPr>
        <w:t>1-</w:t>
      </w:r>
      <w:r w:rsidR="00165122" w:rsidRPr="00DD0C13">
        <w:rPr>
          <w:b/>
        </w:rPr>
        <w:t>1</w:t>
      </w:r>
      <w:r w:rsidR="00457801" w:rsidRPr="00DD0C13">
        <w:t>).</w:t>
      </w:r>
      <w:r w:rsidR="00360855" w:rsidRPr="00DD0C13">
        <w:t xml:space="preserve"> </w:t>
      </w:r>
      <w:r w:rsidR="00C33921" w:rsidRPr="00DD0C13">
        <w:t>Carbaryl can be applied in liquid (</w:t>
      </w:r>
      <w:r w:rsidR="00C33921" w:rsidRPr="00DD0C13">
        <w:rPr>
          <w:i/>
        </w:rPr>
        <w:t>i.e</w:t>
      </w:r>
      <w:r w:rsidR="00C33921" w:rsidRPr="00DD0C13">
        <w:t xml:space="preserve">., flowable concentrate, emulsifiable concentrate, wettable powder, water soluble powder), </w:t>
      </w:r>
      <w:r w:rsidR="00BA6D01" w:rsidRPr="00DD0C13">
        <w:t xml:space="preserve">bait, </w:t>
      </w:r>
      <w:r w:rsidR="00C33921" w:rsidRPr="00DD0C13">
        <w:t>granular, or dust forms.  Aerial and ground application methods are allowed, as are pressure sprayers, dust applicators, spreaders and shank applicators, and baits</w:t>
      </w:r>
      <w:r w:rsidR="007F72CD" w:rsidRPr="00DD0C13">
        <w:t>.</w:t>
      </w:r>
    </w:p>
    <w:p w14:paraId="48FE4E1F" w14:textId="77777777" w:rsidR="001561C2" w:rsidRPr="00DD0C13" w:rsidRDefault="001561C2" w:rsidP="00C34FEE">
      <w:pPr>
        <w:spacing w:after="0" w:line="240" w:lineRule="auto"/>
      </w:pPr>
    </w:p>
    <w:p w14:paraId="5BEACFD9" w14:textId="2066DA2F" w:rsidR="00602F72" w:rsidRPr="00DD0C13" w:rsidRDefault="00F54585" w:rsidP="00DD7C08">
      <w:pPr>
        <w:spacing w:after="0" w:line="240" w:lineRule="auto"/>
      </w:pPr>
      <w:r w:rsidRPr="00DD0C13">
        <w:t xml:space="preserve">Current </w:t>
      </w:r>
      <w:r w:rsidR="009E0C50" w:rsidRPr="00DD0C13">
        <w:t>carbaryl</w:t>
      </w:r>
      <w:r w:rsidRPr="00DD0C13">
        <w:t xml:space="preserve"> labels are reflective of the attached Master Use Summary (</w:t>
      </w:r>
      <w:r w:rsidRPr="00DD0C13">
        <w:rPr>
          <w:b/>
        </w:rPr>
        <w:t>APPENDIX 1-</w:t>
      </w:r>
      <w:r w:rsidR="00165122" w:rsidRPr="00DD0C13">
        <w:rPr>
          <w:b/>
        </w:rPr>
        <w:t>2</w:t>
      </w:r>
      <w:r w:rsidRPr="00DD0C13">
        <w:t>)</w:t>
      </w:r>
      <w:r w:rsidR="00F93B88" w:rsidRPr="00DD0C13">
        <w:t xml:space="preserve">. In general, </w:t>
      </w:r>
      <w:r w:rsidR="00BE19B4">
        <w:t xml:space="preserve">the </w:t>
      </w:r>
      <w:r w:rsidR="00F93B88" w:rsidRPr="00DD0C13">
        <w:t xml:space="preserve">single maximum </w:t>
      </w:r>
      <w:r w:rsidR="009E0C50" w:rsidRPr="00DD0C13">
        <w:t>carbaryl</w:t>
      </w:r>
      <w:r w:rsidR="00F93B88" w:rsidRPr="00DD0C13">
        <w:t xml:space="preserve"> application rates do not exceed </w:t>
      </w:r>
      <w:r w:rsidR="00511620" w:rsidRPr="00DD0C13">
        <w:t>9</w:t>
      </w:r>
      <w:r w:rsidR="00F93B88" w:rsidRPr="00DD0C13">
        <w:t xml:space="preserve"> lb a.i./A nationwide</w:t>
      </w:r>
      <w:r w:rsidR="003C3D62" w:rsidRPr="00DD0C13">
        <w:t xml:space="preserve"> </w:t>
      </w:r>
      <w:r w:rsidR="001B0E51" w:rsidRPr="00DD0C13">
        <w:t>granular</w:t>
      </w:r>
      <w:r w:rsidR="003C3D62" w:rsidRPr="00DD0C13">
        <w:t xml:space="preserve"> formulations</w:t>
      </w:r>
      <w:r w:rsidR="001B0E51" w:rsidRPr="00DD0C13">
        <w:t xml:space="preserve"> and </w:t>
      </w:r>
      <w:r w:rsidR="00195F7E" w:rsidRPr="00DD0C13">
        <w:t>8.33 lbs a.i./A for flowable formulations</w:t>
      </w:r>
      <w:r w:rsidR="00B82E2E" w:rsidRPr="00DD0C13">
        <w:t>. The maximum single application rate is 12</w:t>
      </w:r>
      <w:r w:rsidR="0062765F" w:rsidRPr="00DD0C13">
        <w:t xml:space="preserve"> lbs a.i./A </w:t>
      </w:r>
      <w:r w:rsidR="00E41FCE" w:rsidRPr="00DD0C13">
        <w:t xml:space="preserve">for a flowable formulation applied to citrus in California. </w:t>
      </w:r>
      <w:r w:rsidR="00F93B88" w:rsidRPr="00DD0C13">
        <w:t xml:space="preserve">The maximum annual rate of </w:t>
      </w:r>
      <w:r w:rsidR="00525D24" w:rsidRPr="00DD0C13">
        <w:t>carbaryl</w:t>
      </w:r>
      <w:r w:rsidR="003C3D62" w:rsidRPr="00DD0C13">
        <w:t xml:space="preserve"> </w:t>
      </w:r>
      <w:r w:rsidR="00F93B88" w:rsidRPr="00DD0C13">
        <w:t xml:space="preserve">that may be applied to a crop site is </w:t>
      </w:r>
      <w:r w:rsidR="0004219C" w:rsidRPr="00DD0C13">
        <w:t>15</w:t>
      </w:r>
      <w:r w:rsidR="00605CD3" w:rsidRPr="00DD0C13">
        <w:t xml:space="preserve"> </w:t>
      </w:r>
      <w:r w:rsidR="00F93B88" w:rsidRPr="00DD0C13">
        <w:t xml:space="preserve">lb a.i./A for </w:t>
      </w:r>
      <w:r w:rsidR="0004219C" w:rsidRPr="00DD0C13">
        <w:t>ol</w:t>
      </w:r>
      <w:r w:rsidR="005D1741" w:rsidRPr="00DD0C13">
        <w:t>ives, tree nuts</w:t>
      </w:r>
      <w:r w:rsidR="00C32096" w:rsidRPr="00DD0C13">
        <w:t>, and pome fruit</w:t>
      </w:r>
      <w:r w:rsidR="003C3D62" w:rsidRPr="00DD0C13">
        <w:t>.</w:t>
      </w:r>
      <w:r w:rsidR="003031AB" w:rsidRPr="00DD0C13">
        <w:t xml:space="preserve">  The maximum annual rate that may be applied </w:t>
      </w:r>
      <w:r w:rsidR="00414D72" w:rsidRPr="00DD0C13">
        <w:t>to a non-crop site is 16 lbs a.i./A/year for golf courses</w:t>
      </w:r>
      <w:r w:rsidR="00ED6787" w:rsidRPr="00DD0C13">
        <w:t>, sod farms, and lawns.</w:t>
      </w:r>
    </w:p>
    <w:p w14:paraId="236EB1AD" w14:textId="2C452C8B" w:rsidR="00602F72" w:rsidRPr="00DD0C13" w:rsidRDefault="00602F72" w:rsidP="00AC1BDB">
      <w:pPr>
        <w:spacing w:after="0" w:line="240" w:lineRule="auto"/>
      </w:pPr>
    </w:p>
    <w:p w14:paraId="3702F0E2" w14:textId="2C357C20" w:rsidR="00053955" w:rsidRPr="00DD0C13" w:rsidRDefault="006F0EA1" w:rsidP="00AC1BDB">
      <w:pPr>
        <w:spacing w:after="0" w:line="240" w:lineRule="auto"/>
      </w:pPr>
      <w:r w:rsidRPr="00DD0C13">
        <w:t>Carbaryl is currently registered on a variety of agricultural</w:t>
      </w:r>
      <w:r w:rsidR="00AA2E32" w:rsidRPr="00DD0C13">
        <w:t xml:space="preserve"> and non-agricultural</w:t>
      </w:r>
      <w:r w:rsidRPr="00DD0C13">
        <w:t xml:space="preserve"> use sites (</w:t>
      </w:r>
      <w:r w:rsidRPr="00DD0C13">
        <w:rPr>
          <w:b/>
          <w:bCs/>
        </w:rPr>
        <w:t>APPENDIX 1-2</w:t>
      </w:r>
      <w:r w:rsidRPr="00DD0C13">
        <w:t>)</w:t>
      </w:r>
      <w:r w:rsidR="00AA2E32" w:rsidRPr="00DD0C13">
        <w:t xml:space="preserve"> and to </w:t>
      </w:r>
      <w:r w:rsidR="00F47041" w:rsidRPr="00DD0C13">
        <w:t>treat some specific pests, as listed below</w:t>
      </w:r>
      <w:r w:rsidR="00053955" w:rsidRPr="00DD0C13">
        <w:t>.</w:t>
      </w:r>
    </w:p>
    <w:p w14:paraId="6FAE6F96" w14:textId="11FBAD8E" w:rsidR="00053955" w:rsidRPr="00DD0C13" w:rsidRDefault="00053955" w:rsidP="00AC1BDB">
      <w:pPr>
        <w:spacing w:after="0" w:line="240" w:lineRule="auto"/>
      </w:pPr>
    </w:p>
    <w:p w14:paraId="00737367" w14:textId="02F73260" w:rsidR="00C86F81" w:rsidRPr="00DD0C13" w:rsidRDefault="00053955" w:rsidP="00AC1BDB">
      <w:pPr>
        <w:spacing w:after="0" w:line="240" w:lineRule="auto"/>
      </w:pPr>
      <w:r w:rsidRPr="00DD0C13">
        <w:rPr>
          <w:b/>
          <w:bCs/>
        </w:rPr>
        <w:t>Agricultural:</w:t>
      </w:r>
      <w:r w:rsidRPr="00DD0C13">
        <w:t xml:space="preserve"> </w:t>
      </w:r>
      <w:r w:rsidR="000F152B" w:rsidRPr="00DD0C13">
        <w:t xml:space="preserve">alfalfa, apple, </w:t>
      </w:r>
      <w:r w:rsidR="00455B86" w:rsidRPr="00DD0C13">
        <w:t xml:space="preserve">asparagus, beans, </w:t>
      </w:r>
      <w:r w:rsidR="00847F55" w:rsidRPr="00DD0C13">
        <w:t xml:space="preserve">beans (dried type), beets (greens), </w:t>
      </w:r>
      <w:r w:rsidR="00597601" w:rsidRPr="00DD0C13">
        <w:t xml:space="preserve">beets (root), blackberry, blueberry, boysenberry, </w:t>
      </w:r>
      <w:r w:rsidR="00017DA2" w:rsidRPr="00DD0C13">
        <w:t xml:space="preserve">Brassica (Head and stem) vegetables, broccoli, brussels sprouts, </w:t>
      </w:r>
      <w:r w:rsidR="00C86F81" w:rsidRPr="00DD0C13">
        <w:t xml:space="preserve">bushberry subgroup 13-07B, </w:t>
      </w:r>
      <w:r w:rsidR="00017DA2" w:rsidRPr="00DD0C13">
        <w:t xml:space="preserve">cabbage, </w:t>
      </w:r>
      <w:r w:rsidR="00C86F81" w:rsidRPr="00DD0C13">
        <w:t xml:space="preserve">caneberry subgroup 13-07A, </w:t>
      </w:r>
      <w:r w:rsidR="00017DA2" w:rsidRPr="00DD0C13">
        <w:t>carrot,</w:t>
      </w:r>
      <w:r w:rsidR="00046238" w:rsidRPr="00DD0C13">
        <w:t xml:space="preserve"> caul</w:t>
      </w:r>
      <w:r w:rsidR="00717208" w:rsidRPr="00DD0C13">
        <w:t xml:space="preserve">iflower, cherry, citrus crop group 10, clover, collards, </w:t>
      </w:r>
      <w:r w:rsidR="00017DA2" w:rsidRPr="00DD0C13">
        <w:t xml:space="preserve"> </w:t>
      </w:r>
      <w:r w:rsidR="0086181B" w:rsidRPr="00DD0C13">
        <w:t xml:space="preserve">cranberry, </w:t>
      </w:r>
      <w:r w:rsidR="0058267A" w:rsidRPr="00DD0C13">
        <w:t xml:space="preserve">cucumber, </w:t>
      </w:r>
      <w:r w:rsidR="004A7450" w:rsidRPr="00DD0C13">
        <w:t>cucurbit</w:t>
      </w:r>
      <w:r w:rsidR="00BD108F" w:rsidRPr="00DD0C13">
        <w:t xml:space="preserve"> crop group 9</w:t>
      </w:r>
      <w:r w:rsidR="0058267A" w:rsidRPr="00DD0C13">
        <w:t xml:space="preserve">, </w:t>
      </w:r>
      <w:r w:rsidR="00BD108F" w:rsidRPr="00DD0C13">
        <w:t xml:space="preserve">dandelion, </w:t>
      </w:r>
      <w:r w:rsidR="0058267A" w:rsidRPr="00DD0C13">
        <w:t xml:space="preserve">dewberry, </w:t>
      </w:r>
      <w:r w:rsidR="00BD108F" w:rsidRPr="00DD0C13">
        <w:t xml:space="preserve">dried shelled pea and bean subgroup 6C, edible-podded legume vegetables subgroup 6A , </w:t>
      </w:r>
      <w:r w:rsidR="00AC4660" w:rsidRPr="00DD0C13">
        <w:t xml:space="preserve">eggplant, </w:t>
      </w:r>
      <w:r w:rsidR="00BD108F" w:rsidRPr="00DD0C13">
        <w:t xml:space="preserve">endive, </w:t>
      </w:r>
      <w:r w:rsidR="004C3C2A" w:rsidRPr="00DD0C13">
        <w:t xml:space="preserve">fallow land, </w:t>
      </w:r>
      <w:r w:rsidR="001F6584" w:rsidRPr="00DD0C13">
        <w:t xml:space="preserve">field corn, </w:t>
      </w:r>
      <w:r w:rsidR="00D9209F" w:rsidRPr="00DD0C13">
        <w:t xml:space="preserve">flax, </w:t>
      </w:r>
      <w:r w:rsidR="00516FFD" w:rsidRPr="00DD0C13">
        <w:t xml:space="preserve">forage crops, </w:t>
      </w:r>
      <w:r w:rsidR="007117D7" w:rsidRPr="00DD0C13">
        <w:t xml:space="preserve">fruiting vegetables, grapes, </w:t>
      </w:r>
      <w:r w:rsidR="0047113E" w:rsidRPr="00DD0C13">
        <w:t>grass</w:t>
      </w:r>
      <w:r w:rsidR="008A5E20" w:rsidRPr="00DD0C13">
        <w:t xml:space="preserve"> forage, </w:t>
      </w:r>
      <w:r w:rsidR="004C3C2A" w:rsidRPr="00DD0C13">
        <w:t xml:space="preserve">grasses grown for seed, </w:t>
      </w:r>
      <w:r w:rsidR="008A5E20" w:rsidRPr="00DD0C13">
        <w:t xml:space="preserve">hay, </w:t>
      </w:r>
      <w:r w:rsidR="005E320E" w:rsidRPr="00DD0C13">
        <w:t xml:space="preserve">horseradish, </w:t>
      </w:r>
      <w:r w:rsidR="00CE1579" w:rsidRPr="00DD0C13">
        <w:t xml:space="preserve">kale, kohlrabi, </w:t>
      </w:r>
      <w:r w:rsidR="004A7450" w:rsidRPr="00DD0C13">
        <w:t>l</w:t>
      </w:r>
      <w:r w:rsidR="00773221" w:rsidRPr="00DD0C13">
        <w:t xml:space="preserve">eaf petioles subgroup 4B, </w:t>
      </w:r>
      <w:r w:rsidR="008A1A58" w:rsidRPr="00DD0C13">
        <w:t xml:space="preserve">leafy greens, </w:t>
      </w:r>
      <w:r w:rsidR="00BD108F" w:rsidRPr="00DD0C13">
        <w:t>legume vegetables crop group 7</w:t>
      </w:r>
      <w:r w:rsidR="008A1A58" w:rsidRPr="00DD0C13">
        <w:t xml:space="preserve">, </w:t>
      </w:r>
      <w:r w:rsidR="00090987" w:rsidRPr="00DD0C13">
        <w:t xml:space="preserve">lettuce, loganberry, </w:t>
      </w:r>
      <w:r w:rsidR="009D1AD5" w:rsidRPr="00DD0C13">
        <w:t xml:space="preserve">melons, nectarine, </w:t>
      </w:r>
      <w:r w:rsidR="00EF5705" w:rsidRPr="00DD0C13">
        <w:t xml:space="preserve">okra, </w:t>
      </w:r>
      <w:r w:rsidR="001431E4" w:rsidRPr="00DD0C13">
        <w:t xml:space="preserve">olive, </w:t>
      </w:r>
      <w:r w:rsidR="00FE7DAB" w:rsidRPr="00DD0C13">
        <w:t xml:space="preserve">parsley, </w:t>
      </w:r>
      <w:r w:rsidR="00866D2B" w:rsidRPr="00DD0C13">
        <w:t>peach</w:t>
      </w:r>
      <w:r w:rsidR="00B91022" w:rsidRPr="00DD0C13">
        <w:t xml:space="preserve">, </w:t>
      </w:r>
      <w:r w:rsidR="00293317" w:rsidRPr="00DD0C13">
        <w:t xml:space="preserve">peanuts, </w:t>
      </w:r>
      <w:r w:rsidR="00B91022" w:rsidRPr="00DD0C13">
        <w:t xml:space="preserve">pear, peas, pepper, </w:t>
      </w:r>
      <w:r w:rsidR="00FE7DAB" w:rsidRPr="00DD0C13">
        <w:t xml:space="preserve">pistachio, </w:t>
      </w:r>
      <w:r w:rsidR="00B91022" w:rsidRPr="00DD0C13">
        <w:t xml:space="preserve">plum, </w:t>
      </w:r>
      <w:r w:rsidR="005071F4" w:rsidRPr="00DD0C13">
        <w:t>pop</w:t>
      </w:r>
      <w:r w:rsidR="001F6584" w:rsidRPr="00DD0C13">
        <w:t xml:space="preserve">corn, </w:t>
      </w:r>
      <w:r w:rsidR="00561F69" w:rsidRPr="00DD0C13">
        <w:t xml:space="preserve">pome fruit crop group 11, </w:t>
      </w:r>
      <w:r w:rsidR="00B91022" w:rsidRPr="00DD0C13">
        <w:t xml:space="preserve">potato, </w:t>
      </w:r>
      <w:r w:rsidR="00F3553F" w:rsidRPr="00DD0C13">
        <w:t xml:space="preserve">prickly pear cactus pads, </w:t>
      </w:r>
      <w:r w:rsidR="00B91022" w:rsidRPr="00DD0C13">
        <w:t xml:space="preserve">prune, pumpkin, radish, </w:t>
      </w:r>
      <w:r w:rsidR="00661D73" w:rsidRPr="00DD0C13">
        <w:t xml:space="preserve">raspberry, root and tuber vegetables, rutabaga, </w:t>
      </w:r>
      <w:r w:rsidR="00FE4233" w:rsidRPr="00DD0C13">
        <w:t xml:space="preserve">salsify, </w:t>
      </w:r>
      <w:r w:rsidR="00661D73" w:rsidRPr="00DD0C13">
        <w:t xml:space="preserve">small fruits, </w:t>
      </w:r>
      <w:r w:rsidR="00FE7DAB" w:rsidRPr="00DD0C13">
        <w:t xml:space="preserve">sorghum, </w:t>
      </w:r>
      <w:r w:rsidR="00661D73" w:rsidRPr="00DD0C13">
        <w:t xml:space="preserve">soybeans, spinach, squash, </w:t>
      </w:r>
      <w:r w:rsidR="00A7480A" w:rsidRPr="00DD0C13">
        <w:t xml:space="preserve">sweet corn, </w:t>
      </w:r>
      <w:r w:rsidR="00B968B6" w:rsidRPr="00DD0C13">
        <w:t xml:space="preserve">rice, </w:t>
      </w:r>
      <w:r w:rsidR="00293317" w:rsidRPr="00DD0C13">
        <w:t xml:space="preserve">stone fruit crop group 12, </w:t>
      </w:r>
      <w:r w:rsidR="00661D73" w:rsidRPr="00DD0C13">
        <w:t xml:space="preserve">strawberry, </w:t>
      </w:r>
      <w:r w:rsidR="00B968B6" w:rsidRPr="00DD0C13">
        <w:t xml:space="preserve">sugar beet, </w:t>
      </w:r>
      <w:r w:rsidR="00A153CE" w:rsidRPr="00DD0C13">
        <w:t xml:space="preserve">sunflower, </w:t>
      </w:r>
      <w:r w:rsidR="00661D73" w:rsidRPr="00DD0C13">
        <w:t>sweet potato</w:t>
      </w:r>
      <w:r w:rsidR="000626FD" w:rsidRPr="00DD0C13">
        <w:t xml:space="preserve">, </w:t>
      </w:r>
      <w:r w:rsidR="00736D57" w:rsidRPr="00DD0C13">
        <w:t>tree nut crop group 14</w:t>
      </w:r>
      <w:r w:rsidR="00293317" w:rsidRPr="00DD0C13">
        <w:t xml:space="preserve">, tobacco, </w:t>
      </w:r>
      <w:r w:rsidR="000626FD" w:rsidRPr="00DD0C13">
        <w:t xml:space="preserve">trefoil, </w:t>
      </w:r>
      <w:r w:rsidR="00B504B6" w:rsidRPr="00DD0C13">
        <w:t>turnip greens, walnut</w:t>
      </w:r>
    </w:p>
    <w:p w14:paraId="63F44FEC" w14:textId="77777777" w:rsidR="00AF2D5E" w:rsidRPr="00DD0C13" w:rsidRDefault="00AF2D5E" w:rsidP="00AC1BDB">
      <w:pPr>
        <w:spacing w:after="0" w:line="240" w:lineRule="auto"/>
      </w:pPr>
    </w:p>
    <w:p w14:paraId="11ABAB7D" w14:textId="3943B966" w:rsidR="00053955" w:rsidRPr="00DD0C13" w:rsidRDefault="00053955" w:rsidP="00AC1BDB">
      <w:pPr>
        <w:spacing w:after="0" w:line="240" w:lineRule="auto"/>
      </w:pPr>
      <w:r w:rsidRPr="00DD0C13">
        <w:rPr>
          <w:b/>
          <w:bCs/>
        </w:rPr>
        <w:t>Non-agricultural</w:t>
      </w:r>
      <w:r w:rsidR="00855872" w:rsidRPr="00DD0C13">
        <w:t xml:space="preserve">: </w:t>
      </w:r>
      <w:r w:rsidR="009A1ADF" w:rsidRPr="00DD0C13">
        <w:t>outdoor household domestic premises</w:t>
      </w:r>
      <w:r w:rsidR="0077329C" w:rsidRPr="00DD0C13">
        <w:t>, outdoor buildings</w:t>
      </w:r>
      <w:r w:rsidR="00DC183C" w:rsidRPr="00DD0C13">
        <w:t xml:space="preserve"> and structures, perimeter treatment</w:t>
      </w:r>
      <w:r w:rsidR="00AF2D5E" w:rsidRPr="00DD0C13">
        <w:t>s</w:t>
      </w:r>
      <w:r w:rsidR="00EF5705" w:rsidRPr="00DD0C13">
        <w:t>, ornamentals</w:t>
      </w:r>
      <w:r w:rsidR="000567AE" w:rsidRPr="00DD0C13">
        <w:t>, paths and patios</w:t>
      </w:r>
      <w:r w:rsidR="002B134C" w:rsidRPr="00DD0C13">
        <w:t xml:space="preserve">, non-agricultural uncultivated areas, </w:t>
      </w:r>
      <w:r w:rsidR="00BB26D2" w:rsidRPr="00DD0C13">
        <w:t xml:space="preserve">rights of way, fencerows, hedgerows, </w:t>
      </w:r>
      <w:r w:rsidR="00B703FC" w:rsidRPr="00DD0C13">
        <w:t xml:space="preserve">ornamental lawns and turf, residential lawns, </w:t>
      </w:r>
      <w:r w:rsidR="00096DC0" w:rsidRPr="00DD0C13">
        <w:t>recreational areas, cemet</w:t>
      </w:r>
      <w:r w:rsidR="002616DC" w:rsidRPr="00DD0C13">
        <w:t>eries, camp sites</w:t>
      </w:r>
      <w:r w:rsidR="00AB0030" w:rsidRPr="00DD0C13">
        <w:t xml:space="preserve">, golf courses, </w:t>
      </w:r>
      <w:r w:rsidR="00D9209F" w:rsidRPr="00DD0C13">
        <w:t>noncropland</w:t>
      </w:r>
      <w:r w:rsidR="00A7480A" w:rsidRPr="00DD0C13">
        <w:t>, conservation reserve areas</w:t>
      </w:r>
      <w:r w:rsidR="00AF2D5E" w:rsidRPr="00DD0C13">
        <w:t xml:space="preserve">, </w:t>
      </w:r>
      <w:r w:rsidR="00537546" w:rsidRPr="00DD0C13">
        <w:t>forested areas</w:t>
      </w:r>
      <w:r w:rsidR="0022669B" w:rsidRPr="00DD0C13">
        <w:t xml:space="preserve"> and rangeland trees, </w:t>
      </w:r>
      <w:r w:rsidR="00866D2B" w:rsidRPr="00DD0C13">
        <w:t>pastures</w:t>
      </w:r>
      <w:r w:rsidR="00661D73" w:rsidRPr="00DD0C13">
        <w:t xml:space="preserve">, rangeland, </w:t>
      </w:r>
      <w:r w:rsidR="00346EA0" w:rsidRPr="00DD0C13">
        <w:t>sod farms</w:t>
      </w:r>
      <w:r w:rsidR="00465668" w:rsidRPr="00DD0C13">
        <w:t>, and commercial fisheries</w:t>
      </w:r>
      <w:r w:rsidR="003C5006" w:rsidRPr="00DD0C13">
        <w:rPr>
          <w:rStyle w:val="FootnoteReference"/>
        </w:rPr>
        <w:footnoteReference w:id="4"/>
      </w:r>
    </w:p>
    <w:p w14:paraId="3A436532" w14:textId="468E03E8" w:rsidR="009A1ADF" w:rsidRPr="00DD0C13" w:rsidRDefault="009A1ADF" w:rsidP="00AC1BDB">
      <w:pPr>
        <w:spacing w:after="0" w:line="240" w:lineRule="auto"/>
      </w:pPr>
    </w:p>
    <w:p w14:paraId="39AF2C52" w14:textId="186CC95B" w:rsidR="00465668" w:rsidRDefault="00AF2D5E" w:rsidP="00AC1BDB">
      <w:pPr>
        <w:spacing w:after="0" w:line="240" w:lineRule="auto"/>
      </w:pPr>
      <w:r w:rsidRPr="00DD0C13">
        <w:rPr>
          <w:b/>
          <w:bCs/>
        </w:rPr>
        <w:t>Pests:</w:t>
      </w:r>
      <w:r w:rsidRPr="00DD0C13">
        <w:t xml:space="preserve"> </w:t>
      </w:r>
      <w:r w:rsidR="009A1ADF" w:rsidRPr="00DD0C13">
        <w:t>Grasshoppers, imported fire ants, nuisance pests, ticks,</w:t>
      </w:r>
      <w:r w:rsidR="007A01BC" w:rsidRPr="00DD0C13">
        <w:t xml:space="preserve"> </w:t>
      </w:r>
      <w:r w:rsidR="00BF24B5" w:rsidRPr="00DD0C13">
        <w:t>Mormon</w:t>
      </w:r>
      <w:r w:rsidR="007A01BC" w:rsidRPr="00DD0C13">
        <w:t xml:space="preserve"> crickets</w:t>
      </w:r>
    </w:p>
    <w:p w14:paraId="227A6A7A" w14:textId="690726B2" w:rsidR="00602F72" w:rsidRPr="00C75693" w:rsidRDefault="00F93B88" w:rsidP="00F01F1D">
      <w:pPr>
        <w:pStyle w:val="Heading2"/>
        <w:rPr>
          <w:color w:val="4472C4"/>
        </w:rPr>
      </w:pPr>
      <w:bookmarkStart w:id="11" w:name="_Toc31220271"/>
      <w:bookmarkStart w:id="12" w:name="_Toc66888752"/>
      <w:r w:rsidRPr="00C75693">
        <w:rPr>
          <w:color w:val="4472C4"/>
        </w:rPr>
        <w:t xml:space="preserve">Usage </w:t>
      </w:r>
      <w:r w:rsidR="00CB5805" w:rsidRPr="00C75693">
        <w:rPr>
          <w:color w:val="4472C4"/>
        </w:rPr>
        <w:t>D</w:t>
      </w:r>
      <w:r w:rsidRPr="00C75693">
        <w:rPr>
          <w:color w:val="4472C4"/>
        </w:rPr>
        <w:t>ata</w:t>
      </w:r>
      <w:bookmarkEnd w:id="11"/>
      <w:bookmarkEnd w:id="12"/>
      <w:r w:rsidRPr="00C75693">
        <w:rPr>
          <w:color w:val="4472C4"/>
        </w:rPr>
        <w:t xml:space="preserve"> </w:t>
      </w:r>
    </w:p>
    <w:p w14:paraId="4D539F83" w14:textId="77777777" w:rsidR="00602F72" w:rsidRPr="001561C2" w:rsidRDefault="00602F72" w:rsidP="0081188A">
      <w:pPr>
        <w:spacing w:after="0" w:line="240" w:lineRule="auto"/>
      </w:pPr>
    </w:p>
    <w:p w14:paraId="4BAE0DB6" w14:textId="7B74EFDE" w:rsidR="00261596" w:rsidRPr="00DD0C13" w:rsidRDefault="00F93B88" w:rsidP="0081188A">
      <w:pPr>
        <w:spacing w:after="0" w:line="240" w:lineRule="auto"/>
      </w:pPr>
      <w:r w:rsidRPr="00DD0C13">
        <w:t xml:space="preserve">Based on usage data </w:t>
      </w:r>
      <w:r w:rsidR="00B56211">
        <w:t xml:space="preserve">compiled </w:t>
      </w:r>
      <w:r w:rsidRPr="00DD0C13">
        <w:t xml:space="preserve">by EPA’s Office of Pesticide Program’s Biological and Economic Analysis Division (BEAD), approximately </w:t>
      </w:r>
      <w:r w:rsidR="00422DC7" w:rsidRPr="00DD0C13">
        <w:t>7</w:t>
      </w:r>
      <w:r w:rsidR="00FD165B">
        <w:t>0</w:t>
      </w:r>
      <w:r w:rsidR="00422DC7" w:rsidRPr="00DD0C13">
        <w:t>0,000</w:t>
      </w:r>
      <w:r w:rsidRPr="00DD0C13">
        <w:t xml:space="preserve"> pounds of </w:t>
      </w:r>
      <w:r w:rsidR="00E34943" w:rsidRPr="00DD0C13">
        <w:t>carbaryl</w:t>
      </w:r>
      <w:r w:rsidRPr="00DD0C13">
        <w:t xml:space="preserve"> are used each year for agricultural purposes in the United States (bas</w:t>
      </w:r>
      <w:r w:rsidR="00192A30" w:rsidRPr="00DD0C13">
        <w:t xml:space="preserve">ed on a yearly average from </w:t>
      </w:r>
      <w:r w:rsidR="00323808" w:rsidRPr="00DD0C13">
        <w:t>2013</w:t>
      </w:r>
      <w:r w:rsidR="00192A30" w:rsidRPr="00DD0C13">
        <w:t xml:space="preserve"> to 201</w:t>
      </w:r>
      <w:r w:rsidR="00603253" w:rsidRPr="00DD0C13">
        <w:t>7</w:t>
      </w:r>
      <w:r w:rsidRPr="00DD0C13">
        <w:t>)</w:t>
      </w:r>
      <w:r w:rsidR="00192A30" w:rsidRPr="00DD0C13">
        <w:t xml:space="preserve"> </w:t>
      </w:r>
      <w:r w:rsidRPr="00DD0C13">
        <w:t>(</w:t>
      </w:r>
      <w:r w:rsidR="00192A30" w:rsidRPr="00DD0C13">
        <w:t>s</w:t>
      </w:r>
      <w:r w:rsidRPr="00DD0C13">
        <w:t xml:space="preserve">ee </w:t>
      </w:r>
      <w:r w:rsidR="008569C8" w:rsidRPr="00DD0C13">
        <w:rPr>
          <w:b/>
        </w:rPr>
        <w:t>APPENDIX</w:t>
      </w:r>
      <w:r w:rsidRPr="00DD0C13">
        <w:rPr>
          <w:b/>
        </w:rPr>
        <w:t xml:space="preserve"> </w:t>
      </w:r>
      <w:r w:rsidR="002C58B0" w:rsidRPr="00DD0C13">
        <w:rPr>
          <w:b/>
        </w:rPr>
        <w:t>1-</w:t>
      </w:r>
      <w:r w:rsidR="00CB602A" w:rsidRPr="00DD0C13">
        <w:rPr>
          <w:b/>
        </w:rPr>
        <w:t>4</w:t>
      </w:r>
      <w:r w:rsidRPr="00DD0C13">
        <w:t xml:space="preserve"> for details).</w:t>
      </w:r>
      <w:r w:rsidR="00192A30" w:rsidRPr="00DD0C13">
        <w:t xml:space="preserve">  Approximately</w:t>
      </w:r>
      <w:r w:rsidR="00FD165B">
        <w:t xml:space="preserve"> 50% of the pounds of carbaryl applied agriculturally are made to two crops (apples and soybeans)</w:t>
      </w:r>
      <w:r w:rsidR="00596685">
        <w:t xml:space="preserve">.  </w:t>
      </w:r>
      <w:r w:rsidR="00934791">
        <w:t>Pounds of carbaryl applied to citrus is similar to the pounds applied to soybeans.</w:t>
      </w:r>
      <w:r w:rsidR="004826CD">
        <w:t xml:space="preserve">  Approximately, </w:t>
      </w:r>
      <w:r w:rsidR="00FD165B">
        <w:t xml:space="preserve">50% of the acres treated with carbaryl are planted with three crops (apples, pecans and soybeans). </w:t>
      </w:r>
      <w:r w:rsidR="00192A30" w:rsidRPr="00DD0C13">
        <w:t xml:space="preserve"> </w:t>
      </w:r>
      <w:r w:rsidRPr="00DD0C13">
        <w:t xml:space="preserve">Other crops with relatively high usage of </w:t>
      </w:r>
      <w:r w:rsidR="00EB3A90" w:rsidRPr="00DD0C13">
        <w:t>carbaryl</w:t>
      </w:r>
      <w:r w:rsidR="00605CD3" w:rsidRPr="00DD0C13">
        <w:t xml:space="preserve"> </w:t>
      </w:r>
      <w:r w:rsidRPr="00DD0C13">
        <w:t xml:space="preserve">(at least </w:t>
      </w:r>
      <w:r w:rsidR="008C55BC" w:rsidRPr="00DD0C13">
        <w:t>20</w:t>
      </w:r>
      <w:r w:rsidRPr="00DD0C13">
        <w:t xml:space="preserve">,000 lb/year) include </w:t>
      </w:r>
      <w:r w:rsidR="005F7AA6" w:rsidRPr="00DD0C13">
        <w:t>tomatoes</w:t>
      </w:r>
      <w:r w:rsidR="00930F23" w:rsidRPr="00DD0C13">
        <w:t>,</w:t>
      </w:r>
      <w:r w:rsidR="007D7DEE" w:rsidRPr="00DD0C13">
        <w:t xml:space="preserve"> stone fruit, </w:t>
      </w:r>
      <w:r w:rsidR="002E3018" w:rsidRPr="00DD0C13">
        <w:t xml:space="preserve">pecans, </w:t>
      </w:r>
      <w:r w:rsidR="00333177" w:rsidRPr="00DD0C13">
        <w:t xml:space="preserve">rice, </w:t>
      </w:r>
      <w:r w:rsidR="003B6DF8" w:rsidRPr="00DD0C13">
        <w:t xml:space="preserve">and </w:t>
      </w:r>
      <w:r w:rsidR="00333177" w:rsidRPr="00DD0C13">
        <w:t>asparagus</w:t>
      </w:r>
      <w:r w:rsidRPr="00DD0C13">
        <w:t xml:space="preserve">. </w:t>
      </w:r>
    </w:p>
    <w:p w14:paraId="577E9A36" w14:textId="2EEEF19E" w:rsidR="004263E1" w:rsidRPr="00DD0C13" w:rsidRDefault="004263E1" w:rsidP="0081188A">
      <w:pPr>
        <w:spacing w:after="0" w:line="240" w:lineRule="auto"/>
      </w:pPr>
    </w:p>
    <w:p w14:paraId="1FB818BC" w14:textId="1C66BD0E" w:rsidR="004263E1" w:rsidRPr="007E1FC8" w:rsidRDefault="00FB1BA7" w:rsidP="0081188A">
      <w:pPr>
        <w:spacing w:after="0" w:line="240" w:lineRule="auto"/>
      </w:pPr>
      <w:r w:rsidRPr="00DD0C13">
        <w:t xml:space="preserve">Non-agricultural usage information is more limited than the agricultural usage data; however available data show that non-agricultural usage makes up a large portion of the total carbaryl applied.  </w:t>
      </w:r>
      <w:r w:rsidR="00732CEB" w:rsidRPr="00DD0C13">
        <w:t xml:space="preserve">Survey data from 2013 and 2016 indicate that </w:t>
      </w:r>
      <w:r w:rsidR="006C7C35" w:rsidRPr="00DD0C13">
        <w:t>approximately 2 million pounds of carbaryl is applied in non-agricultural use areas</w:t>
      </w:r>
      <w:r w:rsidR="004B4CC2" w:rsidRPr="00DD0C13">
        <w:t xml:space="preserve"> with 1.3</w:t>
      </w:r>
      <w:r w:rsidR="00273E2E" w:rsidRPr="00DD0C13">
        <w:t>2</w:t>
      </w:r>
      <w:r w:rsidR="004B4CC2" w:rsidRPr="00DD0C13">
        <w:t xml:space="preserve"> million </w:t>
      </w:r>
      <w:r w:rsidR="00272058" w:rsidRPr="00DD0C13">
        <w:t xml:space="preserve">of the 2 million </w:t>
      </w:r>
      <w:r w:rsidR="004B4CC2" w:rsidRPr="00DD0C13">
        <w:t xml:space="preserve">pounds applied </w:t>
      </w:r>
      <w:r w:rsidR="00273E2E" w:rsidRPr="008308E4">
        <w:t>to residential areas (by homeowners and professional applicators</w:t>
      </w:r>
      <w:r w:rsidR="00A32FA5" w:rsidRPr="008308E4">
        <w:t>)</w:t>
      </w:r>
      <w:r w:rsidR="004B4CC2" w:rsidRPr="00DD0C13">
        <w:t xml:space="preserve">.  </w:t>
      </w:r>
      <w:r w:rsidR="00636C5A" w:rsidRPr="00DD0C13">
        <w:t>Usage on ornamental trees and shrubs</w:t>
      </w:r>
      <w:r w:rsidR="00EA5850" w:rsidRPr="00DD0C13">
        <w:t xml:space="preserve"> and</w:t>
      </w:r>
      <w:r w:rsidR="00636C5A" w:rsidRPr="00DD0C13">
        <w:t xml:space="preserve"> golf course turf</w:t>
      </w:r>
      <w:r w:rsidR="009F7F27" w:rsidRPr="00DD0C13">
        <w:t xml:space="preserve"> all had more than </w:t>
      </w:r>
      <w:r w:rsidR="00790DAB" w:rsidRPr="00DD0C13">
        <w:t>30,000 lbs of carbaryl applied per year.</w:t>
      </w:r>
      <w:r w:rsidR="00790DAB" w:rsidRPr="007E1FC8">
        <w:t xml:space="preserve">  </w:t>
      </w:r>
    </w:p>
    <w:p w14:paraId="67D1A7A5" w14:textId="77777777" w:rsidR="00261596" w:rsidRPr="001561C2" w:rsidRDefault="00261596" w:rsidP="002C29BA">
      <w:pPr>
        <w:spacing w:after="0" w:line="240" w:lineRule="auto"/>
        <w:rPr>
          <w:highlight w:val="yellow"/>
        </w:rPr>
      </w:pPr>
    </w:p>
    <w:p w14:paraId="29B800F1" w14:textId="534B44D2" w:rsidR="00602F72" w:rsidRPr="00C75693" w:rsidRDefault="00CB5805" w:rsidP="00F01F1D">
      <w:pPr>
        <w:pStyle w:val="Heading1"/>
        <w:rPr>
          <w:color w:val="4472C4"/>
        </w:rPr>
      </w:pPr>
      <w:bookmarkStart w:id="13" w:name="_Toc31220273"/>
      <w:bookmarkStart w:id="14" w:name="_Toc66888753"/>
      <w:r w:rsidRPr="00C75693">
        <w:rPr>
          <w:color w:val="4472C4"/>
        </w:rPr>
        <w:t>O</w:t>
      </w:r>
      <w:r w:rsidR="00F93B88" w:rsidRPr="00C75693">
        <w:rPr>
          <w:color w:val="4472C4"/>
        </w:rPr>
        <w:t>verview</w:t>
      </w:r>
      <w:bookmarkEnd w:id="13"/>
      <w:r w:rsidR="00F93B88" w:rsidRPr="00C75693">
        <w:rPr>
          <w:color w:val="4472C4"/>
        </w:rPr>
        <w:t xml:space="preserve"> </w:t>
      </w:r>
      <w:r w:rsidR="00D16B5A" w:rsidRPr="00C75693">
        <w:rPr>
          <w:color w:val="4472C4"/>
        </w:rPr>
        <w:t>of Environmental Fate</w:t>
      </w:r>
      <w:bookmarkEnd w:id="14"/>
    </w:p>
    <w:p w14:paraId="1308E21D" w14:textId="77777777" w:rsidR="00602F72" w:rsidRPr="00BB3BB8" w:rsidRDefault="00602F72" w:rsidP="00F01F1D">
      <w:pPr>
        <w:widowControl w:val="0"/>
        <w:spacing w:after="0" w:line="240" w:lineRule="auto"/>
      </w:pPr>
    </w:p>
    <w:p w14:paraId="3E6F66B1" w14:textId="00F13628" w:rsidR="007932B8" w:rsidRPr="00DD0C13" w:rsidRDefault="00C504D1" w:rsidP="00F01F1D">
      <w:pPr>
        <w:spacing w:after="0" w:line="240" w:lineRule="auto"/>
        <w:rPr>
          <w:rFonts w:asciiTheme="minorHAnsi" w:hAnsiTheme="minorHAnsi"/>
        </w:rPr>
      </w:pPr>
      <w:r w:rsidRPr="00DD0C13">
        <w:t>T</w:t>
      </w:r>
      <w:r w:rsidR="007932B8" w:rsidRPr="00DD0C13">
        <w:t xml:space="preserve">he major transport routes </w:t>
      </w:r>
      <w:r w:rsidR="00A93E12">
        <w:t xml:space="preserve">off the treated area </w:t>
      </w:r>
      <w:r w:rsidR="007932B8" w:rsidRPr="00DD0C13">
        <w:t xml:space="preserve">for </w:t>
      </w:r>
      <w:r w:rsidR="00C71AB4" w:rsidRPr="00DD0C13">
        <w:t>carbaryl</w:t>
      </w:r>
      <w:r w:rsidR="007932B8" w:rsidRPr="00DD0C13">
        <w:t xml:space="preserve"> include runoff and spray drift</w:t>
      </w:r>
      <w:r w:rsidR="007932B8" w:rsidRPr="00DD0C13">
        <w:rPr>
          <w:rFonts w:asciiTheme="minorHAnsi" w:hAnsiTheme="minorHAnsi"/>
        </w:rPr>
        <w:t>.</w:t>
      </w:r>
      <w:r w:rsidR="007932B8" w:rsidRPr="00DD0C13">
        <w:t xml:space="preserve"> Information on leaching and adsorption/desorption indicate that </w:t>
      </w:r>
      <w:r w:rsidR="004E5ABE" w:rsidRPr="00DD0C13">
        <w:t>carbaryl</w:t>
      </w:r>
      <w:r w:rsidR="007932B8" w:rsidRPr="00DD0C13">
        <w:t xml:space="preserve"> is considered </w:t>
      </w:r>
      <w:r w:rsidR="004E5ABE" w:rsidRPr="00DD0C13">
        <w:t xml:space="preserve">moderately </w:t>
      </w:r>
      <w:r w:rsidR="007932B8" w:rsidRPr="00DD0C13">
        <w:t xml:space="preserve">mobile according to </w:t>
      </w:r>
      <w:r w:rsidR="00C2251B">
        <w:t xml:space="preserve">the </w:t>
      </w:r>
      <w:r w:rsidR="007932B8" w:rsidRPr="00DD0C13">
        <w:t>Food and Agricultural Organization (FAO) mobility classification system</w:t>
      </w:r>
      <w:r w:rsidR="00A62824">
        <w:rPr>
          <w:rStyle w:val="FootnoteReference"/>
        </w:rPr>
        <w:footnoteReference w:id="5"/>
      </w:r>
      <w:r w:rsidR="007932B8" w:rsidRPr="00DD0C13">
        <w:t xml:space="preserve">.  Based on physical chemical properties as well as empirical data, volatilization from soil and water surfaces is not expected to </w:t>
      </w:r>
      <w:r w:rsidR="003F3542" w:rsidRPr="00DD0C13">
        <w:t>be a major transport pathway</w:t>
      </w:r>
      <w:r w:rsidR="007932B8" w:rsidRPr="00DD0C13">
        <w:t xml:space="preserve"> and </w:t>
      </w:r>
      <w:r w:rsidR="007932B8" w:rsidRPr="00DD0C13">
        <w:rPr>
          <w:rFonts w:asciiTheme="minorHAnsi" w:hAnsiTheme="minorHAnsi"/>
        </w:rPr>
        <w:t xml:space="preserve">most likely not a concern for long-range transport. </w:t>
      </w:r>
      <w:r w:rsidR="00973756" w:rsidRPr="00DD0C13">
        <w:rPr>
          <w:rFonts w:asciiTheme="minorHAnsi" w:hAnsiTheme="minorHAnsi"/>
        </w:rPr>
        <w:t>While detections in precipitation have occurred, the atmospheric half-life for carbaryl is</w:t>
      </w:r>
      <w:r w:rsidR="004B3D17" w:rsidRPr="00DD0C13">
        <w:rPr>
          <w:rFonts w:asciiTheme="minorHAnsi" w:hAnsiTheme="minorHAnsi"/>
        </w:rPr>
        <w:t xml:space="preserve"> hours</w:t>
      </w:r>
      <w:r w:rsidRPr="00DD0C13">
        <w:rPr>
          <w:rFonts w:asciiTheme="minorHAnsi" w:hAnsiTheme="minorHAnsi"/>
        </w:rPr>
        <w:t xml:space="preserve"> and carbaryl should degrade quickly</w:t>
      </w:r>
      <w:r w:rsidR="004B3D17" w:rsidRPr="00DD0C13">
        <w:rPr>
          <w:rFonts w:asciiTheme="minorHAnsi" w:hAnsiTheme="minorHAnsi"/>
        </w:rPr>
        <w:t xml:space="preserve">.  </w:t>
      </w:r>
      <w:r w:rsidR="001C3617">
        <w:rPr>
          <w:rFonts w:asciiTheme="minorHAnsi" w:hAnsiTheme="minorHAnsi"/>
        </w:rPr>
        <w:t>A l</w:t>
      </w:r>
      <w:r w:rsidR="007932B8" w:rsidRPr="00DD0C13">
        <w:rPr>
          <w:rFonts w:asciiTheme="minorHAnsi" w:hAnsiTheme="minorHAnsi"/>
        </w:rPr>
        <w:t>ow octanol</w:t>
      </w:r>
      <w:r w:rsidR="001C3617">
        <w:rPr>
          <w:rFonts w:asciiTheme="minorHAnsi" w:hAnsiTheme="minorHAnsi"/>
        </w:rPr>
        <w:t>-</w:t>
      </w:r>
      <w:r w:rsidR="007932B8" w:rsidRPr="00DD0C13">
        <w:rPr>
          <w:rFonts w:asciiTheme="minorHAnsi" w:hAnsiTheme="minorHAnsi"/>
        </w:rPr>
        <w:t>water partition coefficient (K</w:t>
      </w:r>
      <w:r w:rsidR="007932B8" w:rsidRPr="00DD0C13">
        <w:rPr>
          <w:rFonts w:asciiTheme="minorHAnsi" w:hAnsiTheme="minorHAnsi"/>
          <w:vertAlign w:val="subscript"/>
        </w:rPr>
        <w:t>ow</w:t>
      </w:r>
      <w:r w:rsidR="007932B8" w:rsidRPr="00DD0C13">
        <w:rPr>
          <w:rFonts w:asciiTheme="minorHAnsi" w:hAnsiTheme="minorHAnsi"/>
        </w:rPr>
        <w:t xml:space="preserve"> </w:t>
      </w:r>
      <w:r w:rsidR="00CA3E62" w:rsidRPr="00DD0C13">
        <w:rPr>
          <w:rFonts w:asciiTheme="minorHAnsi" w:hAnsiTheme="minorHAnsi"/>
        </w:rPr>
        <w:t>229</w:t>
      </w:r>
      <w:r w:rsidR="007932B8" w:rsidRPr="00DD0C13">
        <w:rPr>
          <w:rFonts w:asciiTheme="minorHAnsi" w:hAnsiTheme="minorHAnsi"/>
        </w:rPr>
        <w:t xml:space="preserve">) suggests that </w:t>
      </w:r>
      <w:r w:rsidR="00CA3E62" w:rsidRPr="00DD0C13">
        <w:rPr>
          <w:rFonts w:asciiTheme="minorHAnsi" w:hAnsiTheme="minorHAnsi"/>
        </w:rPr>
        <w:t>carbaryl</w:t>
      </w:r>
      <w:r w:rsidR="007932B8" w:rsidRPr="00DD0C13">
        <w:rPr>
          <w:rFonts w:asciiTheme="minorHAnsi" w:hAnsiTheme="minorHAnsi"/>
        </w:rPr>
        <w:t xml:space="preserve"> will have a low tendency to accumulate in aquatic and terrestrial organisms.</w:t>
      </w:r>
      <w:r w:rsidR="009558AB" w:rsidRPr="00DD0C13">
        <w:rPr>
          <w:rFonts w:asciiTheme="minorHAnsi" w:hAnsiTheme="minorHAnsi"/>
        </w:rPr>
        <w:t xml:space="preserve">  </w:t>
      </w:r>
      <w:r w:rsidR="009558AB" w:rsidRPr="00DD0C13">
        <w:t xml:space="preserve">Bioconcentration data confirm this </w:t>
      </w:r>
      <w:r w:rsidR="00666D71">
        <w:t>conclusion</w:t>
      </w:r>
      <w:r w:rsidR="009558AB" w:rsidRPr="00DD0C13">
        <w:t>, with a bioconcentration factor of 45 L/kg-wet weight measured in whole tissues of bluegill sunfish.</w:t>
      </w:r>
    </w:p>
    <w:p w14:paraId="7B3B57C3" w14:textId="77777777" w:rsidR="001561C2" w:rsidRPr="00DD0C13" w:rsidRDefault="001561C2" w:rsidP="00F01F1D">
      <w:pPr>
        <w:spacing w:after="0" w:line="240" w:lineRule="auto"/>
      </w:pPr>
    </w:p>
    <w:p w14:paraId="3C8DA3C5" w14:textId="15528A08" w:rsidR="00261596" w:rsidRDefault="00A0138A" w:rsidP="00C47CFE">
      <w:pPr>
        <w:spacing w:after="0" w:line="240" w:lineRule="auto"/>
        <w:rPr>
          <w:rFonts w:asciiTheme="minorHAnsi" w:hAnsiTheme="minorHAnsi"/>
        </w:rPr>
      </w:pPr>
      <w:r>
        <w:t>EPA determined that t</w:t>
      </w:r>
      <w:r w:rsidR="00F93B88" w:rsidRPr="00DD0C13">
        <w:t>he major route</w:t>
      </w:r>
      <w:r w:rsidR="00C504D1" w:rsidRPr="00DD0C13">
        <w:t>s</w:t>
      </w:r>
      <w:r w:rsidR="00F93B88" w:rsidRPr="00DD0C13">
        <w:t xml:space="preserve"> of degradation</w:t>
      </w:r>
      <w:r w:rsidR="00DC562F" w:rsidRPr="00DD0C13">
        <w:t xml:space="preserve"> of </w:t>
      </w:r>
      <w:r w:rsidR="00CA3E62" w:rsidRPr="00DD0C13">
        <w:t>carbaryl</w:t>
      </w:r>
      <w:r w:rsidR="0094193C" w:rsidRPr="00DD0C13">
        <w:t xml:space="preserve"> are</w:t>
      </w:r>
      <w:r w:rsidR="00F93B88" w:rsidRPr="00DD0C13">
        <w:t xml:space="preserve"> </w:t>
      </w:r>
      <w:r w:rsidR="009558AB" w:rsidRPr="00DD0C13">
        <w:t>hydrolysis and aerobic metabolism</w:t>
      </w:r>
      <w:r w:rsidR="00F93B88" w:rsidRPr="00DD0C13">
        <w:t xml:space="preserve">. </w:t>
      </w:r>
      <w:r w:rsidR="009558AB" w:rsidRPr="00DD0C13">
        <w:t xml:space="preserve">The hydrolysis of carbaryl is pH dependent.  At acidic pH (5) the compound is hydrolytically stable, while under neutral (pH 7) and alkaline (pH 9) conditions carbaryl hydrolyzes with half-lives of 12 days and 0.13 days, respectively.  In aerobic soils carbaryl half-lives </w:t>
      </w:r>
      <w:r w:rsidR="0094193C" w:rsidRPr="00DD0C13">
        <w:t>range from</w:t>
      </w:r>
      <w:r w:rsidR="009558AB" w:rsidRPr="00DD0C13">
        <w:t xml:space="preserve"> 4</w:t>
      </w:r>
      <w:r w:rsidR="0094193C" w:rsidRPr="00DD0C13">
        <w:t xml:space="preserve"> to </w:t>
      </w:r>
      <w:r w:rsidR="009558AB" w:rsidRPr="00DD0C13">
        <w:t xml:space="preserve">253 days.  These half-lives exhibit a monotonic decrease with increasing pH that is consistent with study results showing the chemical to be susceptible to hydrolysis under alkaline, but not acidic, conditions.  </w:t>
      </w:r>
      <w:r w:rsidR="006C2543" w:rsidRPr="00DD0C13">
        <w:t>Carbaryl photodegrades in water with an observed half-life (at pH 5) of 21 days</w:t>
      </w:r>
      <w:r w:rsidR="00474445" w:rsidRPr="00DD0C13">
        <w:t xml:space="preserve">; this </w:t>
      </w:r>
      <w:r w:rsidR="003454CE">
        <w:t>is</w:t>
      </w:r>
      <w:r w:rsidR="00296676">
        <w:t xml:space="preserve"> </w:t>
      </w:r>
      <w:r w:rsidR="00474445" w:rsidRPr="00DD0C13">
        <w:t xml:space="preserve">important in shallow clear </w:t>
      </w:r>
      <w:r w:rsidR="00BD133B" w:rsidRPr="00DD0C13">
        <w:t>acidic</w:t>
      </w:r>
      <w:r w:rsidR="00474445" w:rsidRPr="00DD0C13">
        <w:t xml:space="preserve"> water</w:t>
      </w:r>
      <w:r w:rsidR="00BD133B" w:rsidRPr="00DD0C13">
        <w:t>s</w:t>
      </w:r>
      <w:r w:rsidR="006C2543" w:rsidRPr="00DD0C13">
        <w:t xml:space="preserve">. </w:t>
      </w:r>
      <w:r w:rsidR="009558AB" w:rsidRPr="00DD0C13">
        <w:t>Degradation rates for carbaryl are relatively slow (half-life: 68.9 days) under anaerobic aquatic conditions.  Metabolism in the aerobic aquatic environment is more rapid, with an observed half-life of 4.9 days</w:t>
      </w:r>
      <w:r w:rsidR="0059201F" w:rsidRPr="00DD0C13">
        <w:t xml:space="preserve"> in one system</w:t>
      </w:r>
      <w:r w:rsidR="009558AB" w:rsidRPr="00DD0C13">
        <w:t>.  In soil and water under both aerobic and anaerobic conditions the major degradate is 1-naphthol</w:t>
      </w:r>
      <w:r w:rsidR="009558AB" w:rsidRPr="00DD0C13">
        <w:rPr>
          <w:iCs/>
        </w:rPr>
        <w:t>, which is also t</w:t>
      </w:r>
      <w:r w:rsidR="009558AB" w:rsidRPr="00DD0C13">
        <w:t xml:space="preserve">he major hydrolytic degradate.  </w:t>
      </w:r>
      <w:r w:rsidR="00F93B88" w:rsidRPr="00DD0C13">
        <w:t xml:space="preserve">Available field data indicate that </w:t>
      </w:r>
      <w:r w:rsidR="00C10C1F" w:rsidRPr="00DD0C13">
        <w:t>carbaryl</w:t>
      </w:r>
      <w:r w:rsidR="001E6497" w:rsidRPr="00DD0C13">
        <w:t xml:space="preserve"> </w:t>
      </w:r>
      <w:r w:rsidR="00F93B88" w:rsidRPr="00DD0C13">
        <w:t>dissipation half-li</w:t>
      </w:r>
      <w:r w:rsidR="001E6497" w:rsidRPr="00DD0C13">
        <w:t xml:space="preserve">ves </w:t>
      </w:r>
      <w:r w:rsidR="001E6497" w:rsidRPr="00DD0C13">
        <w:rPr>
          <w:rFonts w:asciiTheme="minorHAnsi" w:hAnsiTheme="minorHAnsi"/>
        </w:rPr>
        <w:t xml:space="preserve">ranged from </w:t>
      </w:r>
      <w:r w:rsidR="00C10C1F" w:rsidRPr="00DD0C13">
        <w:rPr>
          <w:rFonts w:asciiTheme="minorHAnsi" w:hAnsiTheme="minorHAnsi"/>
        </w:rPr>
        <w:t>6</w:t>
      </w:r>
      <w:r w:rsidR="009E6269" w:rsidRPr="00DD0C13">
        <w:rPr>
          <w:rFonts w:asciiTheme="minorHAnsi" w:hAnsiTheme="minorHAnsi"/>
        </w:rPr>
        <w:t>2</w:t>
      </w:r>
      <w:r w:rsidR="005777AC" w:rsidRPr="00DD0C13">
        <w:rPr>
          <w:rFonts w:asciiTheme="minorHAnsi" w:hAnsiTheme="minorHAnsi"/>
        </w:rPr>
        <w:t xml:space="preserve"> to </w:t>
      </w:r>
      <w:r w:rsidR="00C10C1F" w:rsidRPr="00DD0C13">
        <w:rPr>
          <w:rFonts w:asciiTheme="minorHAnsi" w:hAnsiTheme="minorHAnsi"/>
        </w:rPr>
        <w:t>11</w:t>
      </w:r>
      <w:r w:rsidR="001E6497" w:rsidRPr="00DD0C13">
        <w:rPr>
          <w:rFonts w:asciiTheme="minorHAnsi" w:hAnsiTheme="minorHAnsi"/>
        </w:rPr>
        <w:t>6 days</w:t>
      </w:r>
      <w:r w:rsidR="00F93B88" w:rsidRPr="00DD0C13">
        <w:t xml:space="preserve">.  </w:t>
      </w:r>
      <w:r w:rsidR="007932B8" w:rsidRPr="00DD0C13">
        <w:rPr>
          <w:rFonts w:asciiTheme="minorHAnsi" w:hAnsiTheme="minorHAnsi"/>
        </w:rPr>
        <w:t xml:space="preserve">Additional details on the fate of </w:t>
      </w:r>
      <w:r w:rsidR="009E6269" w:rsidRPr="00DD0C13">
        <w:rPr>
          <w:rFonts w:asciiTheme="minorHAnsi" w:hAnsiTheme="minorHAnsi"/>
        </w:rPr>
        <w:t>carbaryl</w:t>
      </w:r>
      <w:r w:rsidR="007932B8" w:rsidRPr="00DD0C13">
        <w:rPr>
          <w:rFonts w:asciiTheme="minorHAnsi" w:hAnsiTheme="minorHAnsi"/>
        </w:rPr>
        <w:t xml:space="preserve"> are provided in </w:t>
      </w:r>
      <w:r w:rsidR="00BF5BD3" w:rsidRPr="00DD0C13">
        <w:rPr>
          <w:rFonts w:asciiTheme="minorHAnsi" w:hAnsiTheme="minorHAnsi"/>
          <w:b/>
        </w:rPr>
        <w:t>Chapter</w:t>
      </w:r>
      <w:r w:rsidR="00386144" w:rsidRPr="00DD0C13">
        <w:rPr>
          <w:rFonts w:asciiTheme="minorHAnsi" w:hAnsiTheme="minorHAnsi"/>
          <w:b/>
        </w:rPr>
        <w:t xml:space="preserve"> </w:t>
      </w:r>
      <w:r w:rsidR="007932B8" w:rsidRPr="00DD0C13">
        <w:rPr>
          <w:rFonts w:asciiTheme="minorHAnsi" w:hAnsiTheme="minorHAnsi"/>
          <w:b/>
        </w:rPr>
        <w:t>3</w:t>
      </w:r>
      <w:r w:rsidR="007932B8" w:rsidRPr="00DD0C13">
        <w:rPr>
          <w:rFonts w:asciiTheme="minorHAnsi" w:hAnsiTheme="minorHAnsi"/>
        </w:rPr>
        <w:t xml:space="preserve"> of the</w:t>
      </w:r>
      <w:r w:rsidR="009E6269" w:rsidRPr="00DD0C13">
        <w:rPr>
          <w:rFonts w:asciiTheme="minorHAnsi" w:hAnsiTheme="minorHAnsi"/>
        </w:rPr>
        <w:t xml:space="preserve"> Biological Evaluation</w:t>
      </w:r>
      <w:r w:rsidR="007932B8" w:rsidRPr="00DD0C13">
        <w:rPr>
          <w:rFonts w:asciiTheme="minorHAnsi" w:hAnsiTheme="minorHAnsi"/>
        </w:rPr>
        <w:t>.</w:t>
      </w:r>
    </w:p>
    <w:p w14:paraId="59B4C207" w14:textId="77777777" w:rsidR="00C47CFE" w:rsidRPr="001561C2" w:rsidRDefault="00C47CFE" w:rsidP="00DD15C8">
      <w:pPr>
        <w:spacing w:after="0" w:line="240" w:lineRule="auto"/>
      </w:pPr>
    </w:p>
    <w:p w14:paraId="18022572" w14:textId="243DF843" w:rsidR="00602F72" w:rsidRPr="00C75693" w:rsidRDefault="00F8443F" w:rsidP="00D70CC3">
      <w:pPr>
        <w:pStyle w:val="Heading1"/>
        <w:rPr>
          <w:color w:val="4472C4"/>
        </w:rPr>
      </w:pPr>
      <w:bookmarkStart w:id="15" w:name="_Toc31220274"/>
      <w:bookmarkStart w:id="16" w:name="_Toc66888754"/>
      <w:r w:rsidRPr="00C75693">
        <w:rPr>
          <w:color w:val="4472C4"/>
        </w:rPr>
        <w:t>Residue</w:t>
      </w:r>
      <w:r w:rsidR="00F93B88" w:rsidRPr="00C75693">
        <w:rPr>
          <w:color w:val="4472C4"/>
        </w:rPr>
        <w:t xml:space="preserve"> of </w:t>
      </w:r>
      <w:r w:rsidR="00CB5805" w:rsidRPr="00C75693">
        <w:rPr>
          <w:color w:val="4472C4"/>
        </w:rPr>
        <w:t>C</w:t>
      </w:r>
      <w:r w:rsidR="00F93B88" w:rsidRPr="00C75693">
        <w:rPr>
          <w:color w:val="4472C4"/>
        </w:rPr>
        <w:t>oncern</w:t>
      </w:r>
      <w:bookmarkEnd w:id="15"/>
      <w:bookmarkEnd w:id="16"/>
      <w:r w:rsidR="00F93B88" w:rsidRPr="00C75693">
        <w:rPr>
          <w:color w:val="4472C4"/>
        </w:rPr>
        <w:t xml:space="preserve"> </w:t>
      </w:r>
    </w:p>
    <w:p w14:paraId="256336F8" w14:textId="77777777" w:rsidR="00602F72" w:rsidRPr="00BB3BB8" w:rsidRDefault="00602F72" w:rsidP="0031648D">
      <w:pPr>
        <w:keepNext/>
        <w:spacing w:after="0" w:line="240" w:lineRule="auto"/>
      </w:pPr>
    </w:p>
    <w:p w14:paraId="158D8215" w14:textId="46C29A6B" w:rsidR="00B15D17" w:rsidRPr="007D7A1E" w:rsidRDefault="004D166F" w:rsidP="0031648D">
      <w:pPr>
        <w:keepNext/>
        <w:spacing w:after="0" w:line="240" w:lineRule="auto"/>
        <w:rPr>
          <w:rFonts w:asciiTheme="minorHAnsi" w:hAnsiTheme="minorHAnsi" w:cstheme="minorHAnsi"/>
        </w:rPr>
      </w:pPr>
      <w:r w:rsidRPr="00DD0C13">
        <w:rPr>
          <w:rFonts w:asciiTheme="minorHAnsi" w:hAnsiTheme="minorHAnsi" w:cstheme="minorHAnsi"/>
        </w:rPr>
        <w:t>Three</w:t>
      </w:r>
      <w:r w:rsidR="009E6269" w:rsidRPr="00DD0C13">
        <w:rPr>
          <w:rFonts w:asciiTheme="minorHAnsi" w:hAnsiTheme="minorHAnsi" w:cstheme="minorHAnsi"/>
        </w:rPr>
        <w:t xml:space="preserve"> </w:t>
      </w:r>
      <w:r w:rsidR="009E6414" w:rsidRPr="00DD0C13">
        <w:rPr>
          <w:rFonts w:asciiTheme="minorHAnsi" w:hAnsiTheme="minorHAnsi" w:cstheme="minorHAnsi"/>
        </w:rPr>
        <w:t>major degradates (</w:t>
      </w:r>
      <w:r w:rsidR="00C704A7" w:rsidRPr="00DD0C13">
        <w:rPr>
          <w:rFonts w:asciiTheme="minorHAnsi" w:hAnsiTheme="minorHAnsi" w:cstheme="minorHAnsi"/>
          <w:i/>
        </w:rPr>
        <w:t>1-naphthol</w:t>
      </w:r>
      <w:r w:rsidRPr="00DD0C13">
        <w:rPr>
          <w:rFonts w:asciiTheme="minorHAnsi" w:hAnsiTheme="minorHAnsi" w:cstheme="minorHAnsi"/>
          <w:i/>
        </w:rPr>
        <w:t xml:space="preserve">, </w:t>
      </w:r>
      <w:r w:rsidR="007D7A1E" w:rsidRPr="00DD0C13">
        <w:rPr>
          <w:rFonts w:asciiTheme="minorHAnsi" w:hAnsiTheme="minorHAnsi" w:cstheme="minorHAnsi"/>
          <w:i/>
        </w:rPr>
        <w:t xml:space="preserve">1, 4 </w:t>
      </w:r>
      <w:r w:rsidR="007D7A1E" w:rsidRPr="00DD0C13">
        <w:rPr>
          <w:rFonts w:asciiTheme="minorHAnsi" w:hAnsiTheme="minorHAnsi" w:cstheme="minorHAnsi"/>
          <w:color w:val="121212"/>
        </w:rPr>
        <w:t>napthoquinone, and carbon dioxide</w:t>
      </w:r>
      <w:r w:rsidR="009E6414" w:rsidRPr="00DD0C13">
        <w:rPr>
          <w:rFonts w:asciiTheme="minorHAnsi" w:hAnsiTheme="minorHAnsi" w:cstheme="minorHAnsi"/>
        </w:rPr>
        <w:t>) w</w:t>
      </w:r>
      <w:r w:rsidR="007D7A1E" w:rsidRPr="00DD0C13">
        <w:rPr>
          <w:rFonts w:asciiTheme="minorHAnsi" w:hAnsiTheme="minorHAnsi" w:cstheme="minorHAnsi"/>
        </w:rPr>
        <w:t>ere</w:t>
      </w:r>
      <w:r w:rsidR="009E6414" w:rsidRPr="00DD0C13">
        <w:rPr>
          <w:rFonts w:asciiTheme="minorHAnsi" w:hAnsiTheme="minorHAnsi" w:cstheme="minorHAnsi"/>
        </w:rPr>
        <w:t xml:space="preserve"> detected in various environmental fate studies. These degra</w:t>
      </w:r>
      <w:r w:rsidR="00BB13F9" w:rsidRPr="00DD0C13">
        <w:rPr>
          <w:rFonts w:asciiTheme="minorHAnsi" w:hAnsiTheme="minorHAnsi" w:cstheme="minorHAnsi"/>
        </w:rPr>
        <w:t>da</w:t>
      </w:r>
      <w:r w:rsidR="009E6414" w:rsidRPr="00DD0C13">
        <w:rPr>
          <w:rFonts w:asciiTheme="minorHAnsi" w:hAnsiTheme="minorHAnsi" w:cstheme="minorHAnsi"/>
        </w:rPr>
        <w:t xml:space="preserve">tes are not considered to be </w:t>
      </w:r>
      <w:r w:rsidR="000B329D" w:rsidRPr="00DD0C13">
        <w:rPr>
          <w:rFonts w:asciiTheme="minorHAnsi" w:hAnsiTheme="minorHAnsi" w:cstheme="minorHAnsi"/>
        </w:rPr>
        <w:t xml:space="preserve">of </w:t>
      </w:r>
      <w:r w:rsidR="009E6414" w:rsidRPr="00DD0C13">
        <w:rPr>
          <w:rFonts w:asciiTheme="minorHAnsi" w:hAnsiTheme="minorHAnsi" w:cstheme="minorHAnsi"/>
        </w:rPr>
        <w:t xml:space="preserve">toxicological concern because they do not contain a carbamate functional group. </w:t>
      </w:r>
      <w:r w:rsidR="00C704A7" w:rsidRPr="00DD0C13">
        <w:rPr>
          <w:rFonts w:asciiTheme="minorHAnsi" w:hAnsiTheme="minorHAnsi" w:cstheme="minorHAnsi"/>
          <w:iCs/>
        </w:rPr>
        <w:t xml:space="preserve">Additionally, 1-naphthol can also be generated by a variety of natural and anthropogenic processes, including the breakdown of the polycyclic aromatic hydrocarbon (PAH) naphthalene, its presence in the environment is not necessarily indicative of carbaryl use. </w:t>
      </w:r>
      <w:r w:rsidR="009E6414" w:rsidRPr="00DD0C13">
        <w:rPr>
          <w:rFonts w:asciiTheme="minorHAnsi" w:hAnsiTheme="minorHAnsi" w:cstheme="minorHAnsi"/>
        </w:rPr>
        <w:t xml:space="preserve">Therefore, </w:t>
      </w:r>
      <w:r w:rsidR="00C704A7" w:rsidRPr="00DD0C13">
        <w:rPr>
          <w:rFonts w:asciiTheme="minorHAnsi" w:hAnsiTheme="minorHAnsi" w:cstheme="minorHAnsi"/>
        </w:rPr>
        <w:t>carbaryl</w:t>
      </w:r>
      <w:r w:rsidR="009E6414" w:rsidRPr="00DD0C13">
        <w:rPr>
          <w:rFonts w:asciiTheme="minorHAnsi" w:hAnsiTheme="minorHAnsi" w:cstheme="minorHAnsi"/>
        </w:rPr>
        <w:t xml:space="preserve"> alone is the residue </w:t>
      </w:r>
      <w:r w:rsidR="000B329D" w:rsidRPr="00DD0C13">
        <w:rPr>
          <w:rFonts w:asciiTheme="minorHAnsi" w:hAnsiTheme="minorHAnsi" w:cstheme="minorHAnsi"/>
        </w:rPr>
        <w:t xml:space="preserve">of </w:t>
      </w:r>
      <w:r w:rsidR="009E6414" w:rsidRPr="00DD0C13">
        <w:rPr>
          <w:rFonts w:asciiTheme="minorHAnsi" w:hAnsiTheme="minorHAnsi" w:cstheme="minorHAnsi"/>
        </w:rPr>
        <w:t>concern for the ecological risk assessment</w:t>
      </w:r>
      <w:r w:rsidR="005777AC" w:rsidRPr="00DD0C13">
        <w:rPr>
          <w:rFonts w:asciiTheme="minorHAnsi" w:hAnsiTheme="minorHAnsi" w:cstheme="minorHAnsi"/>
        </w:rPr>
        <w:t xml:space="preserve"> (see </w:t>
      </w:r>
      <w:r w:rsidR="00DF17D1" w:rsidRPr="00DD0C13">
        <w:rPr>
          <w:rFonts w:asciiTheme="minorHAnsi" w:hAnsiTheme="minorHAnsi" w:cstheme="minorHAnsi"/>
          <w:b/>
        </w:rPr>
        <w:t>C</w:t>
      </w:r>
      <w:r w:rsidR="00BF5BD3" w:rsidRPr="00DD0C13">
        <w:rPr>
          <w:rFonts w:asciiTheme="minorHAnsi" w:hAnsiTheme="minorHAnsi" w:cstheme="minorHAnsi"/>
          <w:b/>
        </w:rPr>
        <w:t xml:space="preserve">hapter </w:t>
      </w:r>
      <w:r w:rsidR="00DF17D1" w:rsidRPr="00DD0C13">
        <w:rPr>
          <w:rFonts w:asciiTheme="minorHAnsi" w:hAnsiTheme="minorHAnsi" w:cstheme="minorHAnsi"/>
          <w:b/>
        </w:rPr>
        <w:t>3</w:t>
      </w:r>
      <w:r w:rsidR="005777AC" w:rsidRPr="00DD0C13">
        <w:rPr>
          <w:rFonts w:asciiTheme="minorHAnsi" w:hAnsiTheme="minorHAnsi" w:cstheme="minorHAnsi"/>
        </w:rPr>
        <w:t>)</w:t>
      </w:r>
      <w:r w:rsidR="009E6414" w:rsidRPr="00DD0C13">
        <w:rPr>
          <w:rFonts w:asciiTheme="minorHAnsi" w:hAnsiTheme="minorHAnsi" w:cstheme="minorHAnsi"/>
        </w:rPr>
        <w:t>.</w:t>
      </w:r>
      <w:r w:rsidR="009E6414" w:rsidRPr="007D7A1E">
        <w:rPr>
          <w:rFonts w:asciiTheme="minorHAnsi" w:hAnsiTheme="minorHAnsi" w:cstheme="minorHAnsi"/>
        </w:rPr>
        <w:t xml:space="preserve"> </w:t>
      </w:r>
    </w:p>
    <w:p w14:paraId="647D25B1" w14:textId="77777777" w:rsidR="002C29BA" w:rsidRDefault="002C29BA" w:rsidP="00B15D17">
      <w:pPr>
        <w:spacing w:after="0" w:line="240" w:lineRule="auto"/>
      </w:pPr>
      <w:bookmarkStart w:id="17" w:name="_Toc31220275"/>
    </w:p>
    <w:p w14:paraId="75CE97A3" w14:textId="00BF0CC5" w:rsidR="00602F72" w:rsidRPr="00C75693" w:rsidRDefault="00F93B88" w:rsidP="00F01F1D">
      <w:pPr>
        <w:pStyle w:val="Heading1"/>
        <w:rPr>
          <w:color w:val="4472C4"/>
        </w:rPr>
      </w:pPr>
      <w:bookmarkStart w:id="18" w:name="_Toc66888755"/>
      <w:r w:rsidRPr="00C75693">
        <w:rPr>
          <w:color w:val="4472C4"/>
        </w:rPr>
        <w:t>Analysis Plan</w:t>
      </w:r>
      <w:bookmarkEnd w:id="17"/>
      <w:bookmarkEnd w:id="18"/>
    </w:p>
    <w:p w14:paraId="119C3FA7" w14:textId="39A55684" w:rsidR="00602F72" w:rsidRDefault="00602F72" w:rsidP="00610075">
      <w:pPr>
        <w:keepNext/>
        <w:keepLines/>
        <w:spacing w:after="0" w:line="240" w:lineRule="auto"/>
      </w:pPr>
    </w:p>
    <w:p w14:paraId="6366F000" w14:textId="3D434D05" w:rsidR="00791256" w:rsidRDefault="001D36F6" w:rsidP="00791256">
      <w:pPr>
        <w:spacing w:after="0" w:line="240" w:lineRule="auto"/>
        <w:rPr>
          <w:rStyle w:val="eop"/>
          <w:rFonts w:asciiTheme="minorHAnsi" w:hAnsiTheme="minorHAnsi" w:cstheme="minorBidi"/>
        </w:rPr>
      </w:pPr>
      <w:bookmarkStart w:id="19" w:name="_Hlk66257364"/>
      <w:bookmarkStart w:id="20" w:name="_Hlk33466025"/>
      <w:r w:rsidRPr="798D7C64">
        <w:rPr>
          <w:rStyle w:val="eop"/>
          <w:rFonts w:asciiTheme="minorHAnsi" w:hAnsiTheme="minorHAnsi" w:cstheme="minorBidi"/>
        </w:rPr>
        <w:t>For the draft BE, effects determinations were made for listed species and designated critical habitats that were listed as of Jan</w:t>
      </w:r>
      <w:r w:rsidR="00C77413" w:rsidRPr="798D7C64">
        <w:rPr>
          <w:rStyle w:val="eop"/>
          <w:rFonts w:asciiTheme="minorHAnsi" w:hAnsiTheme="minorHAnsi" w:cstheme="minorBidi"/>
        </w:rPr>
        <w:t>uary</w:t>
      </w:r>
      <w:r w:rsidRPr="798D7C64">
        <w:rPr>
          <w:rStyle w:val="eop"/>
          <w:rFonts w:asciiTheme="minorHAnsi" w:hAnsiTheme="minorHAnsi" w:cstheme="minorBidi"/>
        </w:rPr>
        <w:t xml:space="preserve"> 30, 2019,</w:t>
      </w:r>
      <w:r w:rsidR="00F72173" w:rsidRPr="798D7C64">
        <w:rPr>
          <w:rStyle w:val="eop"/>
          <w:rFonts w:asciiTheme="minorHAnsi" w:hAnsiTheme="minorHAnsi" w:cstheme="minorBidi"/>
        </w:rPr>
        <w:t xml:space="preserve"> </w:t>
      </w:r>
      <w:r w:rsidRPr="798D7C64">
        <w:rPr>
          <w:rStyle w:val="eop"/>
          <w:rFonts w:asciiTheme="minorHAnsi" w:hAnsiTheme="minorHAnsi" w:cstheme="minorBidi"/>
        </w:rPr>
        <w:t xml:space="preserve">but excluded 50 species and 16 critical habitats and 12 newly listed species (since January 30, 2019).  For the final BEs, the list was updated to include these excluded species, </w:t>
      </w:r>
      <w:r w:rsidR="00DE4FA2" w:rsidRPr="798D7C64">
        <w:rPr>
          <w:rStyle w:val="eop"/>
          <w:rFonts w:asciiTheme="minorHAnsi" w:hAnsiTheme="minorHAnsi" w:cstheme="minorBidi"/>
        </w:rPr>
        <w:t xml:space="preserve">and </w:t>
      </w:r>
      <w:r w:rsidR="007179E6">
        <w:rPr>
          <w:rStyle w:val="eop"/>
          <w:rFonts w:asciiTheme="minorHAnsi" w:hAnsiTheme="minorHAnsi" w:cstheme="minorBidi"/>
        </w:rPr>
        <w:t xml:space="preserve">compared </w:t>
      </w:r>
      <w:r w:rsidRPr="798D7C64">
        <w:rPr>
          <w:rStyle w:val="eop"/>
          <w:rFonts w:asciiTheme="minorHAnsi" w:hAnsiTheme="minorHAnsi" w:cstheme="minorBidi"/>
        </w:rPr>
        <w:t xml:space="preserve">against the species list as of </w:t>
      </w:r>
      <w:r w:rsidR="00DE2CF4" w:rsidRPr="798D7C64">
        <w:rPr>
          <w:rStyle w:val="eop"/>
          <w:rFonts w:asciiTheme="minorHAnsi" w:hAnsiTheme="minorHAnsi" w:cstheme="minorBidi"/>
        </w:rPr>
        <w:t xml:space="preserve">November </w:t>
      </w:r>
      <w:r w:rsidR="00E64BD4" w:rsidRPr="798D7C64">
        <w:rPr>
          <w:rStyle w:val="eop"/>
          <w:rFonts w:asciiTheme="minorHAnsi" w:hAnsiTheme="minorHAnsi" w:cstheme="minorBidi"/>
        </w:rPr>
        <w:t>17</w:t>
      </w:r>
      <w:r w:rsidRPr="798D7C64">
        <w:rPr>
          <w:rStyle w:val="eop"/>
          <w:rFonts w:asciiTheme="minorHAnsi" w:hAnsiTheme="minorHAnsi" w:cstheme="minorBidi"/>
        </w:rPr>
        <w:t>, 2020</w:t>
      </w:r>
      <w:r w:rsidR="00DE4FA2" w:rsidRPr="798D7C64">
        <w:rPr>
          <w:rStyle w:val="eop"/>
          <w:rFonts w:asciiTheme="minorHAnsi" w:hAnsiTheme="minorHAnsi" w:cstheme="minorBidi"/>
        </w:rPr>
        <w:t xml:space="preserve"> specifically</w:t>
      </w:r>
      <w:r w:rsidRPr="798D7C64">
        <w:rPr>
          <w:rStyle w:val="eop"/>
          <w:rFonts w:asciiTheme="minorHAnsi" w:hAnsiTheme="minorHAnsi" w:cstheme="minorBidi"/>
        </w:rPr>
        <w:t xml:space="preserve"> for removal of any species that had been delisted.</w:t>
      </w:r>
      <w:r w:rsidR="00DE2CF4" w:rsidRPr="798D7C64">
        <w:rPr>
          <w:rStyle w:val="eop"/>
          <w:rFonts w:asciiTheme="minorHAnsi" w:hAnsiTheme="minorHAnsi" w:cstheme="minorBidi"/>
        </w:rPr>
        <w:t xml:space="preserve"> New species were not included from the 2020 list as there was insufficient time to include those species in the analysis. One species</w:t>
      </w:r>
      <w:r w:rsidR="00DE4FA2" w:rsidRPr="798D7C64">
        <w:rPr>
          <w:rStyle w:val="eop"/>
          <w:rFonts w:asciiTheme="minorHAnsi" w:hAnsiTheme="minorHAnsi" w:cstheme="minorBidi"/>
        </w:rPr>
        <w:t xml:space="preserve"> population for </w:t>
      </w:r>
      <w:r w:rsidR="00DE2CF4" w:rsidRPr="798D7C64">
        <w:rPr>
          <w:rStyle w:val="eop"/>
          <w:rFonts w:asciiTheme="minorHAnsi" w:hAnsiTheme="minorHAnsi" w:cstheme="minorBidi"/>
        </w:rPr>
        <w:t xml:space="preserve">the fisher, entity ID 4648 had been delisted under this entity ID in the November 2020 list, but </w:t>
      </w:r>
      <w:r w:rsidR="00DE4FA2" w:rsidRPr="798D7C64">
        <w:rPr>
          <w:rStyle w:val="eop"/>
          <w:rFonts w:asciiTheme="minorHAnsi" w:hAnsiTheme="minorHAnsi" w:cstheme="minorBidi"/>
        </w:rPr>
        <w:t>a new</w:t>
      </w:r>
      <w:r w:rsidR="00DE2CF4" w:rsidRPr="798D7C64">
        <w:rPr>
          <w:rStyle w:val="eop"/>
          <w:rFonts w:asciiTheme="minorHAnsi" w:hAnsiTheme="minorHAnsi" w:cstheme="minorBidi"/>
        </w:rPr>
        <w:t xml:space="preserve"> species</w:t>
      </w:r>
      <w:r w:rsidR="00DE4FA2" w:rsidRPr="798D7C64">
        <w:rPr>
          <w:rStyle w:val="eop"/>
          <w:rFonts w:asciiTheme="minorHAnsi" w:hAnsiTheme="minorHAnsi" w:cstheme="minorBidi"/>
        </w:rPr>
        <w:t xml:space="preserve"> population</w:t>
      </w:r>
      <w:r w:rsidR="00DE2CF4" w:rsidRPr="798D7C64">
        <w:rPr>
          <w:rStyle w:val="eop"/>
          <w:rFonts w:asciiTheme="minorHAnsi" w:hAnsiTheme="minorHAnsi" w:cstheme="minorBidi"/>
        </w:rPr>
        <w:t xml:space="preserve"> was still included in the new list under two new entity IDs, that still partially share the area of the range of the former entity ID. For this reason, the fisher, under the entity ID 4648, was retained in the analysis. </w:t>
      </w:r>
      <w:r w:rsidRPr="798D7C64">
        <w:rPr>
          <w:rStyle w:val="eop"/>
          <w:rFonts w:asciiTheme="minorHAnsi" w:hAnsiTheme="minorHAnsi" w:cstheme="minorBidi"/>
        </w:rPr>
        <w:t xml:space="preserve"> </w:t>
      </w:r>
      <w:r w:rsidR="00791256" w:rsidRPr="798D7C64">
        <w:rPr>
          <w:rStyle w:val="eop"/>
          <w:rFonts w:asciiTheme="minorHAnsi" w:hAnsiTheme="minorHAnsi" w:cstheme="minorBidi"/>
        </w:rPr>
        <w:t xml:space="preserve"> Effects determinations were made for </w:t>
      </w:r>
      <w:r w:rsidR="00DE2CF4" w:rsidRPr="798D7C64">
        <w:rPr>
          <w:rStyle w:val="eop"/>
          <w:rFonts w:asciiTheme="minorHAnsi" w:hAnsiTheme="minorHAnsi" w:cstheme="minorBidi"/>
        </w:rPr>
        <w:t xml:space="preserve">1805 </w:t>
      </w:r>
      <w:r w:rsidR="00791256" w:rsidRPr="798D7C64">
        <w:rPr>
          <w:rStyle w:val="eop"/>
          <w:rFonts w:asciiTheme="minorHAnsi" w:hAnsiTheme="minorHAnsi" w:cstheme="minorBidi"/>
        </w:rPr>
        <w:t>listed species and 79</w:t>
      </w:r>
      <w:r w:rsidR="00DE2CF4" w:rsidRPr="798D7C64">
        <w:rPr>
          <w:rStyle w:val="eop"/>
          <w:rFonts w:asciiTheme="minorHAnsi" w:hAnsiTheme="minorHAnsi" w:cstheme="minorBidi"/>
        </w:rPr>
        <w:t>1</w:t>
      </w:r>
      <w:r w:rsidR="00791256" w:rsidRPr="798D7C64">
        <w:rPr>
          <w:rStyle w:val="eop"/>
          <w:rFonts w:asciiTheme="minorHAnsi" w:hAnsiTheme="minorHAnsi" w:cstheme="minorBidi"/>
        </w:rPr>
        <w:t xml:space="preserve"> designated critical habitats</w:t>
      </w:r>
      <w:r w:rsidR="00DE2CF4" w:rsidRPr="798D7C64">
        <w:rPr>
          <w:rStyle w:val="eop"/>
          <w:rFonts w:asciiTheme="minorHAnsi" w:hAnsiTheme="minorHAnsi" w:cstheme="minorBidi"/>
        </w:rPr>
        <w:t xml:space="preserve"> (see </w:t>
      </w:r>
      <w:r w:rsidR="00DE2CF4" w:rsidRPr="798D7C64">
        <w:rPr>
          <w:rStyle w:val="eop"/>
          <w:rFonts w:asciiTheme="minorHAnsi" w:hAnsiTheme="minorHAnsi" w:cstheme="minorBidi"/>
          <w:b/>
        </w:rPr>
        <w:t>APPENDIX 4-1</w:t>
      </w:r>
      <w:r w:rsidR="00DE2CF4" w:rsidRPr="798D7C64">
        <w:rPr>
          <w:rStyle w:val="eop"/>
          <w:rFonts w:asciiTheme="minorHAnsi" w:hAnsiTheme="minorHAnsi" w:cstheme="minorBidi"/>
        </w:rPr>
        <w:t xml:space="preserve"> for complete species lists).</w:t>
      </w:r>
    </w:p>
    <w:bookmarkEnd w:id="19"/>
    <w:p w14:paraId="1419F407" w14:textId="77777777" w:rsidR="00791256" w:rsidRDefault="00791256" w:rsidP="00185923">
      <w:pPr>
        <w:spacing w:after="0" w:line="240" w:lineRule="auto"/>
        <w:rPr>
          <w:rStyle w:val="eop"/>
          <w:rFonts w:asciiTheme="minorHAnsi" w:hAnsiTheme="minorHAnsi" w:cstheme="minorHAnsi"/>
        </w:rPr>
      </w:pPr>
    </w:p>
    <w:p w14:paraId="5B0D7055" w14:textId="46782AEC" w:rsidR="00B908C0" w:rsidRDefault="00B908C0" w:rsidP="00B908C0">
      <w:pPr>
        <w:spacing w:after="0" w:line="240" w:lineRule="auto"/>
        <w:rPr>
          <w:rFonts w:eastAsiaTheme="minorEastAsia"/>
        </w:rPr>
      </w:pPr>
      <w:r w:rsidRPr="001561C2">
        <w:rPr>
          <w:rStyle w:val="eop"/>
          <w:rFonts w:asciiTheme="minorHAnsi" w:hAnsiTheme="minorHAnsi" w:cstheme="minorHAnsi"/>
        </w:rPr>
        <w:t xml:space="preserve">As described in the </w:t>
      </w:r>
      <w:r>
        <w:rPr>
          <w:rStyle w:val="eop"/>
          <w:rFonts w:asciiTheme="minorHAnsi" w:hAnsiTheme="minorHAnsi" w:cstheme="minorHAnsi"/>
        </w:rPr>
        <w:t>R</w:t>
      </w:r>
      <w:r w:rsidRPr="001561C2">
        <w:rPr>
          <w:rStyle w:val="eop"/>
          <w:rFonts w:asciiTheme="minorHAnsi" w:hAnsiTheme="minorHAnsi" w:cstheme="minorHAnsi"/>
        </w:rPr>
        <w:t xml:space="preserve">evised </w:t>
      </w:r>
      <w:r>
        <w:rPr>
          <w:rStyle w:val="eop"/>
          <w:rFonts w:asciiTheme="minorHAnsi" w:hAnsiTheme="minorHAnsi" w:cstheme="minorHAnsi"/>
        </w:rPr>
        <w:t>M</w:t>
      </w:r>
      <w:r w:rsidRPr="001561C2">
        <w:rPr>
          <w:rStyle w:val="eop"/>
          <w:rFonts w:asciiTheme="minorHAnsi" w:hAnsiTheme="minorHAnsi" w:cstheme="minorHAnsi"/>
        </w:rPr>
        <w:t xml:space="preserve">ethod, listed species risk assessments for pesticides include three steps. </w:t>
      </w:r>
      <w:r w:rsidRPr="001561C2">
        <w:rPr>
          <w:rFonts w:eastAsiaTheme="minorEastAsia"/>
        </w:rPr>
        <w:t xml:space="preserve">Steps 1 and 2 are represented by the BE, which evaluates whether an individual of a listed species is reasonably expected to be exposed to a pesticide, and, if so, distinguishes effects that are likely to adversely affect an individual of a species from those that are not likely to adversely affect an individual. This process is also applied to the designated critical habitat of listed species (when available). In Step 1, for every listed species and designated critical habitat, EPA determines whether </w:t>
      </w:r>
      <w:r w:rsidR="00851767">
        <w:rPr>
          <w:rFonts w:eastAsiaTheme="minorEastAsia"/>
        </w:rPr>
        <w:t>carbaryl</w:t>
      </w:r>
      <w:r w:rsidRPr="001561C2">
        <w:rPr>
          <w:rFonts w:eastAsiaTheme="minorEastAsia"/>
        </w:rPr>
        <w:t xml:space="preserve"> will have No Effect (NE) or </w:t>
      </w:r>
      <w:r>
        <w:rPr>
          <w:rFonts w:eastAsiaTheme="minorEastAsia"/>
        </w:rPr>
        <w:t>M</w:t>
      </w:r>
      <w:r w:rsidRPr="001561C2">
        <w:rPr>
          <w:rFonts w:eastAsiaTheme="minorEastAsia"/>
        </w:rPr>
        <w:t xml:space="preserve">ay </w:t>
      </w:r>
      <w:r>
        <w:rPr>
          <w:rFonts w:eastAsiaTheme="minorEastAsia"/>
        </w:rPr>
        <w:t>A</w:t>
      </w:r>
      <w:r w:rsidRPr="001561C2">
        <w:rPr>
          <w:rFonts w:eastAsiaTheme="minorEastAsia"/>
        </w:rPr>
        <w:t xml:space="preserve">ffect (MA) (separate determinations made for each species and critical habitat). For those species and critical habitats with MA determinations in Step 1, EPA will determine if </w:t>
      </w:r>
      <w:r w:rsidR="00851767">
        <w:rPr>
          <w:rFonts w:eastAsiaTheme="minorEastAsia"/>
        </w:rPr>
        <w:t>carbaryl</w:t>
      </w:r>
      <w:r w:rsidRPr="001561C2">
        <w:rPr>
          <w:rFonts w:eastAsiaTheme="minorEastAsia"/>
        </w:rPr>
        <w:t xml:space="preserve"> is Not Likely to Adversely Affect (NLAA) or Likely to Adversely Affect (LAA) each individual species or critical habitat. </w:t>
      </w:r>
    </w:p>
    <w:p w14:paraId="2D9B412D" w14:textId="77777777" w:rsidR="00B908C0" w:rsidRDefault="00B908C0" w:rsidP="00B908C0">
      <w:pPr>
        <w:spacing w:after="0" w:line="240" w:lineRule="auto"/>
        <w:rPr>
          <w:rFonts w:eastAsiaTheme="minorEastAsia"/>
        </w:rPr>
      </w:pPr>
    </w:p>
    <w:p w14:paraId="38201C16" w14:textId="074DF582" w:rsidR="00B908C0" w:rsidRDefault="00B908C0" w:rsidP="00B908C0">
      <w:pPr>
        <w:spacing w:after="0" w:line="240" w:lineRule="auto"/>
        <w:rPr>
          <w:rFonts w:eastAsiaTheme="minorEastAsia"/>
        </w:rPr>
      </w:pPr>
      <w:r w:rsidRPr="001561C2">
        <w:rPr>
          <w:rFonts w:eastAsiaTheme="minorEastAsia"/>
        </w:rPr>
        <w:t>Details on the method</w:t>
      </w:r>
      <w:r>
        <w:rPr>
          <w:rFonts w:eastAsiaTheme="minorEastAsia"/>
        </w:rPr>
        <w:t>, models and tools used</w:t>
      </w:r>
      <w:r w:rsidRPr="001561C2">
        <w:rPr>
          <w:rFonts w:eastAsiaTheme="minorEastAsia"/>
        </w:rPr>
        <w:t xml:space="preserve"> for making NE,</w:t>
      </w:r>
      <w:r>
        <w:rPr>
          <w:rFonts w:eastAsiaTheme="minorEastAsia"/>
        </w:rPr>
        <w:t xml:space="preserve"> </w:t>
      </w:r>
      <w:r w:rsidRPr="001561C2">
        <w:rPr>
          <w:rFonts w:eastAsiaTheme="minorEastAsia"/>
        </w:rPr>
        <w:t>NLAA and LAA determinations are provided in the Revised Method.</w:t>
      </w:r>
      <w:r>
        <w:rPr>
          <w:rFonts w:eastAsiaTheme="minorEastAsia"/>
        </w:rPr>
        <w:t xml:space="preserve"> This analysis plan identifies </w:t>
      </w:r>
      <w:r w:rsidR="00851767">
        <w:rPr>
          <w:rFonts w:eastAsiaTheme="minorEastAsia"/>
        </w:rPr>
        <w:t>carbaryl</w:t>
      </w:r>
      <w:r>
        <w:rPr>
          <w:rFonts w:eastAsiaTheme="minorEastAsia"/>
        </w:rPr>
        <w:t xml:space="preserve"> specific information that is used in the Revised Method to complete this BE. </w:t>
      </w:r>
    </w:p>
    <w:bookmarkEnd w:id="20"/>
    <w:p w14:paraId="744BB37A" w14:textId="77777777" w:rsidR="00812326" w:rsidRDefault="00812326" w:rsidP="00812326">
      <w:pPr>
        <w:spacing w:after="0" w:line="240" w:lineRule="auto"/>
        <w:rPr>
          <w:rFonts w:eastAsiaTheme="minorEastAsia"/>
        </w:rPr>
      </w:pPr>
    </w:p>
    <w:p w14:paraId="17313E38" w14:textId="6CBFADCD" w:rsidR="00812326" w:rsidRPr="00DD0C13" w:rsidRDefault="00812326" w:rsidP="00812326">
      <w:pPr>
        <w:spacing w:after="0" w:line="240" w:lineRule="auto"/>
      </w:pPr>
      <w:r>
        <w:t>Step 1 begins with an analysis of the potential overlap of the action area and individual species ranges or critical habitat. For species or critical habitats with no overlap (</w:t>
      </w:r>
      <w:r w:rsidRPr="41D9C46C">
        <w:rPr>
          <w:i/>
        </w:rPr>
        <w:t>i.e.,</w:t>
      </w:r>
      <w:r>
        <w:t xml:space="preserve"> species found outside of the action area), NE determinations are made. The currently registered uses (summarized in </w:t>
      </w:r>
      <w:r w:rsidRPr="41D9C46C">
        <w:rPr>
          <w:b/>
        </w:rPr>
        <w:t xml:space="preserve">Section 4, APPENDIX 1-2 </w:t>
      </w:r>
      <w:r w:rsidRPr="00F539F8">
        <w:t>and</w:t>
      </w:r>
      <w:r w:rsidRPr="41D9C46C">
        <w:rPr>
          <w:b/>
        </w:rPr>
        <w:t xml:space="preserve"> APPENDIX 1-3</w:t>
      </w:r>
      <w:r>
        <w:t xml:space="preserve">) include agricultural and non-agricultural uses. The </w:t>
      </w:r>
      <w:r w:rsidR="00851767">
        <w:t>carbaryl</w:t>
      </w:r>
      <w:r>
        <w:t xml:space="preserve"> overlap analysis is conducted using ArcGIS version 10.</w:t>
      </w:r>
      <w:r w:rsidR="00151479">
        <w:t>8</w:t>
      </w:r>
      <w:r>
        <w:t xml:space="preserve">. </w:t>
      </w:r>
      <w:r w:rsidR="0078239A" w:rsidRPr="0078239A">
        <w:t xml:space="preserve"> </w:t>
      </w:r>
      <w:r w:rsidR="0078239A" w:rsidRPr="00DD0C13">
        <w:t xml:space="preserve">The action area is derived using potential use sites and the off-site transport zone. The currently registered uses (summarized in </w:t>
      </w:r>
      <w:r w:rsidR="0078239A" w:rsidRPr="00DD0C13">
        <w:rPr>
          <w:b/>
        </w:rPr>
        <w:t xml:space="preserve">Section </w:t>
      </w:r>
      <w:r w:rsidR="00FC0F28">
        <w:rPr>
          <w:b/>
        </w:rPr>
        <w:t>4</w:t>
      </w:r>
      <w:r w:rsidR="0078239A" w:rsidRPr="00DD0C13">
        <w:rPr>
          <w:b/>
        </w:rPr>
        <w:t xml:space="preserve"> </w:t>
      </w:r>
      <w:r w:rsidR="0078239A" w:rsidRPr="00DD0C13">
        <w:t xml:space="preserve">and </w:t>
      </w:r>
      <w:r w:rsidR="0078239A" w:rsidRPr="00DD0C13">
        <w:rPr>
          <w:b/>
        </w:rPr>
        <w:t>APPENDIX 1-2</w:t>
      </w:r>
      <w:r w:rsidR="0078239A" w:rsidRPr="00DD0C13">
        <w:t xml:space="preserve">) include agricultural, non-agricultural, and forest areas.  For some </w:t>
      </w:r>
      <w:r w:rsidR="0078239A" w:rsidRPr="00965EA8">
        <w:t>of carbaryl’s ornamental use patterns, reliable data are not available to map the locations of the potential use sites</w:t>
      </w:r>
      <w:r w:rsidR="6EC83B28">
        <w:t xml:space="preserve">; </w:t>
      </w:r>
      <w:r w:rsidR="00340455">
        <w:t>specifically,</w:t>
      </w:r>
      <w:r w:rsidR="6EC83B28">
        <w:t xml:space="preserve"> ornamental and/or shade trees</w:t>
      </w:r>
      <w:r w:rsidR="0078239A">
        <w:t>.</w:t>
      </w:r>
      <w:r w:rsidR="0078239A" w:rsidRPr="00965EA8">
        <w:t xml:space="preserve"> The spatial extent</w:t>
      </w:r>
      <w:r w:rsidR="0078239A">
        <w:t>s</w:t>
      </w:r>
      <w:r w:rsidR="0078239A" w:rsidRPr="00DD0C13">
        <w:t xml:space="preserve"> of these non-mappable uses are limited and overlap with other carbaryl uses</w:t>
      </w:r>
      <w:r w:rsidR="3BD89045">
        <w:t xml:space="preserve"> mapped with the Developed and Open Spaced Developed UDLs</w:t>
      </w:r>
      <w:r w:rsidR="0078239A">
        <w:t>, therefore, the non-mappable uses are assumed to be represented by other uses</w:t>
      </w:r>
      <w:r w:rsidR="0078239A" w:rsidRPr="00DD0C13">
        <w:t xml:space="preserve">. </w:t>
      </w:r>
      <w:r w:rsidR="64C92266">
        <w:t xml:space="preserve">The total spatial footprint </w:t>
      </w:r>
      <w:r w:rsidR="5321F5A0">
        <w:t>for carbaryl</w:t>
      </w:r>
      <w:r w:rsidR="64C92266">
        <w:t xml:space="preserve"> is not affected</w:t>
      </w:r>
      <w:r w:rsidR="0B60446E">
        <w:t xml:space="preserve"> by this</w:t>
      </w:r>
      <w:r w:rsidR="64C92266">
        <w:t xml:space="preserve"> due to the overlap with other mapped uses. </w:t>
      </w:r>
      <w:r w:rsidR="0078239A">
        <w:t xml:space="preserve"> </w:t>
      </w:r>
      <w:r w:rsidR="0078239A" w:rsidRPr="00DD0C13">
        <w:t xml:space="preserve"> So, for carbaryl, agricultural and non-agricultural use sites are used to derive the action area (along with the associated off-site transport zone).</w:t>
      </w:r>
    </w:p>
    <w:p w14:paraId="7AA17FCB" w14:textId="77777777" w:rsidR="00B15850" w:rsidRDefault="00B15850" w:rsidP="00452BB9">
      <w:pPr>
        <w:spacing w:after="0" w:line="240" w:lineRule="auto"/>
        <w:jc w:val="center"/>
      </w:pPr>
    </w:p>
    <w:p w14:paraId="2083CB08" w14:textId="31DFCF5A" w:rsidR="00851767" w:rsidRPr="00DD0C13" w:rsidRDefault="00851767" w:rsidP="00851767">
      <w:pPr>
        <w:spacing w:after="0" w:line="240" w:lineRule="auto"/>
      </w:pPr>
      <w:r w:rsidRPr="00DD0C13">
        <w:t xml:space="preserve">A number of spatial data sources were used to generate Use Data Layers (UDLs), which map the potential use sites for </w:t>
      </w:r>
      <w:r w:rsidR="0039115B">
        <w:t>carbaryl</w:t>
      </w:r>
      <w:r w:rsidR="004A5A99">
        <w:t>.</w:t>
      </w:r>
      <w:r w:rsidRPr="00DD0C13">
        <w:t xml:space="preserve"> In the contiguous United States (ConUS), agricultural use pattern UDLs are represented by</w:t>
      </w:r>
      <w:r w:rsidRPr="00DD0C13" w:rsidDel="00552909">
        <w:t xml:space="preserve"> using</w:t>
      </w:r>
      <w:r w:rsidRPr="00DD0C13">
        <w:t xml:space="preserve"> the US Department of Agriculture’s (USDA) Crop Data Layer (CDL)</w:t>
      </w:r>
      <w:r w:rsidRPr="00965EA8">
        <w:rPr>
          <w:rStyle w:val="FootnoteReference"/>
        </w:rPr>
        <w:footnoteReference w:id="6"/>
      </w:r>
      <w:r w:rsidRPr="00965EA8">
        <w:t>.  This analysi</w:t>
      </w:r>
      <w:r w:rsidRPr="00DD0C13">
        <w:t xml:space="preserve">s utilizes data from 2013-2017. </w:t>
      </w:r>
      <w:r w:rsidRPr="41D9C46C">
        <w:rPr>
          <w:b/>
        </w:rPr>
        <w:t xml:space="preserve">APPENDIX 1-5 </w:t>
      </w:r>
      <w:r w:rsidRPr="00DD0C13">
        <w:t xml:space="preserve">includes a crosswalk between </w:t>
      </w:r>
      <w:r>
        <w:t xml:space="preserve">crops found in the CDL and the resulting UDL while </w:t>
      </w:r>
      <w:r w:rsidRPr="41D9C46C">
        <w:rPr>
          <w:b/>
        </w:rPr>
        <w:t>APPENDIX 1-6</w:t>
      </w:r>
      <w:r w:rsidRPr="00DD0C13">
        <w:t xml:space="preserve"> includes a crosswalk between </w:t>
      </w:r>
      <w:r w:rsidR="00EC51A4">
        <w:t>carbaryl</w:t>
      </w:r>
      <w:r w:rsidR="00EC51A4" w:rsidRPr="00DD0C13">
        <w:t xml:space="preserve">’s </w:t>
      </w:r>
      <w:r w:rsidRPr="00DD0C13">
        <w:t>registered agricultural crops and th</w:t>
      </w:r>
      <w:r>
        <w:t>ose</w:t>
      </w:r>
      <w:r w:rsidRPr="00DD0C13">
        <w:t xml:space="preserve"> </w:t>
      </w:r>
      <w:r>
        <w:t>U</w:t>
      </w:r>
      <w:r w:rsidRPr="00DD0C13">
        <w:t>DL</w:t>
      </w:r>
      <w:r>
        <w:t>s</w:t>
      </w:r>
      <w:r w:rsidRPr="00DD0C13">
        <w:t xml:space="preserve">. </w:t>
      </w:r>
      <w:r w:rsidRPr="41D9C46C">
        <w:rPr>
          <w:b/>
        </w:rPr>
        <w:t>APPENDIX 1-</w:t>
      </w:r>
      <w:r w:rsidR="00DE4FA2">
        <w:rPr>
          <w:b/>
        </w:rPr>
        <w:t>5</w:t>
      </w:r>
      <w:r w:rsidRPr="00DD0C13">
        <w:t xml:space="preserve"> also defines how individual CDL layers are grouped into UDL categories</w:t>
      </w:r>
      <w:r w:rsidRPr="00965EA8">
        <w:rPr>
          <w:rStyle w:val="FootnoteReference"/>
        </w:rPr>
        <w:footnoteReference w:id="7"/>
      </w:r>
      <w:r w:rsidRPr="00965EA8">
        <w:t xml:space="preserve"> and temporally combined to </w:t>
      </w:r>
      <w:bookmarkStart w:id="21" w:name="_Hlk66349432"/>
      <w:r w:rsidR="00DE4FA2">
        <w:t>reach</w:t>
      </w:r>
      <w:r w:rsidRPr="00965EA8">
        <w:t xml:space="preserve"> the accuracy </w:t>
      </w:r>
      <w:r w:rsidR="00DE4FA2">
        <w:t xml:space="preserve">criteria set by EPA </w:t>
      </w:r>
      <w:r w:rsidRPr="00965EA8">
        <w:t xml:space="preserve">of </w:t>
      </w:r>
      <w:r w:rsidR="00DE4FA2">
        <w:t>85</w:t>
      </w:r>
      <w:bookmarkEnd w:id="21"/>
      <w:r w:rsidR="00DE4FA2">
        <w:t>%</w:t>
      </w:r>
      <w:r w:rsidRPr="00965EA8">
        <w:t xml:space="preserve">. USDA’s 2012 Census of Agriculture (CoA) is also used to improve accuracy </w:t>
      </w:r>
      <w:r>
        <w:t>of the individual UDLs</w:t>
      </w:r>
      <w:r w:rsidRPr="00DD0C13">
        <w:t xml:space="preserve"> by expanding the agricultural UDLs to meet or exceed the reported acres in the CoA </w:t>
      </w:r>
      <w:r>
        <w:t xml:space="preserve">as needed </w:t>
      </w:r>
      <w:r w:rsidRPr="00DD0C13">
        <w:t>(</w:t>
      </w:r>
      <w:r w:rsidRPr="41D9C46C">
        <w:rPr>
          <w:b/>
        </w:rPr>
        <w:t>ATTACHMENT 1-3</w:t>
      </w:r>
      <w:r w:rsidRPr="00DD0C13">
        <w:t>). The CDL is only available for ConUS, so other data sources are used to represent agricultural areas in states and US territories outside of ConUS (referred to as NL48</w:t>
      </w:r>
      <w:r w:rsidRPr="00965EA8">
        <w:rPr>
          <w:rStyle w:val="FootnoteReference"/>
        </w:rPr>
        <w:footnoteReference w:id="8"/>
      </w:r>
      <w:r w:rsidRPr="00965EA8">
        <w:t>). In A</w:t>
      </w:r>
      <w:r w:rsidRPr="00DD0C13">
        <w:t>laska and Puerto Rico, the US Geological Survey’s 2011 National Land Cover Dataset (NLCD)</w:t>
      </w:r>
      <w:r w:rsidRPr="00965EA8">
        <w:rPr>
          <w:rStyle w:val="FootnoteReference"/>
        </w:rPr>
        <w:footnoteReference w:id="9"/>
      </w:r>
      <w:r w:rsidRPr="00965EA8">
        <w:t xml:space="preserve"> is used. In Hawaii, Guam, American Samoa, Virgin Islands and Northern Mariana Islands, the National Oceanic and Atmospheric Administration’s Costal Change Analysis P</w:t>
      </w:r>
      <w:r w:rsidRPr="00DD0C13">
        <w:t>rogram (C-CAP)</w:t>
      </w:r>
      <w:r w:rsidRPr="00965EA8">
        <w:rPr>
          <w:rStyle w:val="FootnoteReference"/>
        </w:rPr>
        <w:footnoteReference w:id="10"/>
      </w:r>
      <w:r w:rsidRPr="00965EA8">
        <w:t xml:space="preserve"> data from 2010-2012 are used. For non</w:t>
      </w:r>
      <w:r w:rsidRPr="00DD0C13">
        <w:t xml:space="preserve">-agricultural use patterns in ConUS additional UDLs were created to represent </w:t>
      </w:r>
      <w:r w:rsidR="00EC51A4">
        <w:t>carbaryl</w:t>
      </w:r>
      <w:r w:rsidR="00EC51A4" w:rsidRPr="00DD0C13">
        <w:t xml:space="preserve">’s </w:t>
      </w:r>
      <w:r w:rsidRPr="00DD0C13">
        <w:t>registered uses. The data sources used for these UDLs included but are not limited to the NLCD 2011, GAP Protected Areas Database, LandFire and NAVTEQ; for additional detail</w:t>
      </w:r>
      <w:r>
        <w:t>s</w:t>
      </w:r>
      <w:r w:rsidRPr="00DD0C13">
        <w:t xml:space="preserve"> see </w:t>
      </w:r>
      <w:r w:rsidRPr="41D9C46C">
        <w:rPr>
          <w:b/>
        </w:rPr>
        <w:t xml:space="preserve">APPENDIX 1-6 </w:t>
      </w:r>
      <w:r w:rsidRPr="41D9C46C">
        <w:t>which</w:t>
      </w:r>
      <w:r w:rsidRPr="00DD0C13">
        <w:t xml:space="preserve"> summarizes all spatial data used to generate the agricultural and non-agricultural UDLs used for </w:t>
      </w:r>
      <w:r w:rsidR="00EC51A4">
        <w:t>carbaryl</w:t>
      </w:r>
      <w:r w:rsidRPr="00DD0C13">
        <w:t>’s potential use site footprints</w:t>
      </w:r>
      <w:r>
        <w:t xml:space="preserve">. </w:t>
      </w:r>
      <w:r w:rsidRPr="00DD0C13">
        <w:t>Due to the limited availab</w:t>
      </w:r>
      <w:r>
        <w:t xml:space="preserve">ility </w:t>
      </w:r>
      <w:r w:rsidRPr="00DD0C13">
        <w:t>of GIS data in some of the NL48 regions</w:t>
      </w:r>
      <w:r>
        <w:t>,</w:t>
      </w:r>
      <w:r w:rsidRPr="00DD0C13">
        <w:t xml:space="preserve"> the Nurseries UDL could not be created in Commonwealth of the Northern Mariana Island, Guam, and America Samoa and the Forest Trees UDL could not be created in America Samoa. </w:t>
      </w:r>
      <w:r>
        <w:t xml:space="preserve">A separate UDL specific to fallow area was not created in the NL48 regions because it would be identical to the agricultural UDL. </w:t>
      </w:r>
      <w:r w:rsidRPr="41D9C46C">
        <w:rPr>
          <w:b/>
        </w:rPr>
        <w:t>APPENDIX 1-6</w:t>
      </w:r>
      <w:r w:rsidRPr="00DD0C13">
        <w:t xml:space="preserve"> summarizes all spatial data used to generate the agricultural and non-agricultural UDLs used for </w:t>
      </w:r>
      <w:r w:rsidR="00EC51A4">
        <w:t>carbaryl</w:t>
      </w:r>
      <w:r>
        <w:t>’s</w:t>
      </w:r>
      <w:r w:rsidRPr="00DD0C13">
        <w:t xml:space="preserve"> potential use site footprints in the ConUS and NL48.</w:t>
      </w:r>
    </w:p>
    <w:p w14:paraId="7B10BABC" w14:textId="77777777" w:rsidR="00851767" w:rsidRPr="0011187A" w:rsidRDefault="00851767" w:rsidP="00851767">
      <w:pPr>
        <w:keepNext/>
        <w:keepLines/>
        <w:spacing w:after="0" w:line="240" w:lineRule="auto"/>
        <w:rPr>
          <w:highlight w:val="yellow"/>
        </w:rPr>
      </w:pPr>
    </w:p>
    <w:p w14:paraId="4BD8AD6A" w14:textId="0CAB8CA1" w:rsidR="00851767" w:rsidRDefault="00851767" w:rsidP="00851767">
      <w:pPr>
        <w:spacing w:after="0" w:line="240" w:lineRule="auto"/>
      </w:pPr>
      <w:r w:rsidRPr="0023583F">
        <w:t xml:space="preserve">The Step 2 overlap analysis incorporates </w:t>
      </w:r>
      <w:r w:rsidR="00EC51A4">
        <w:t>carbaryl</w:t>
      </w:r>
      <w:r w:rsidRPr="0023583F">
        <w:t xml:space="preserve"> </w:t>
      </w:r>
      <w:r>
        <w:t>usage data, which are provided</w:t>
      </w:r>
      <w:r w:rsidRPr="0023583F">
        <w:t xml:space="preserve"> in the SUUM</w:t>
      </w:r>
      <w:r>
        <w:t xml:space="preserve"> (</w:t>
      </w:r>
      <w:r w:rsidRPr="00131878">
        <w:t>SIAB Use and Usage Matrix</w:t>
      </w:r>
      <w:r>
        <w:t>), combining it with information from the CoA</w:t>
      </w:r>
      <w:r w:rsidRPr="0023583F">
        <w:t xml:space="preserve"> (</w:t>
      </w:r>
      <w:r w:rsidRPr="0023583F">
        <w:rPr>
          <w:b/>
        </w:rPr>
        <w:t>A</w:t>
      </w:r>
      <w:r>
        <w:rPr>
          <w:b/>
        </w:rPr>
        <w:t>PPENDIX</w:t>
      </w:r>
      <w:r w:rsidRPr="0023583F">
        <w:rPr>
          <w:b/>
        </w:rPr>
        <w:t xml:space="preserve"> 1-4</w:t>
      </w:r>
      <w:r>
        <w:rPr>
          <w:b/>
        </w:rPr>
        <w:t>, ATTACHMENT 1-4</w:t>
      </w:r>
      <w:r w:rsidRPr="0023583F">
        <w:t xml:space="preserve">). </w:t>
      </w:r>
      <w:r w:rsidRPr="0023583F">
        <w:rPr>
          <w:b/>
        </w:rPr>
        <w:t>A</w:t>
      </w:r>
      <w:r>
        <w:rPr>
          <w:b/>
        </w:rPr>
        <w:t>PPENDI</w:t>
      </w:r>
      <w:r w:rsidR="00975844">
        <w:rPr>
          <w:b/>
        </w:rPr>
        <w:t>CES</w:t>
      </w:r>
      <w:r w:rsidRPr="0023583F">
        <w:rPr>
          <w:b/>
        </w:rPr>
        <w:t xml:space="preserve"> 1-7</w:t>
      </w:r>
      <w:r w:rsidR="00975844">
        <w:rPr>
          <w:b/>
        </w:rPr>
        <w:t xml:space="preserve"> and 1-8</w:t>
      </w:r>
      <w:r w:rsidRPr="0023583F">
        <w:rPr>
          <w:b/>
        </w:rPr>
        <w:t xml:space="preserve"> </w:t>
      </w:r>
      <w:r w:rsidRPr="0023583F">
        <w:t xml:space="preserve">describe how the usage data for </w:t>
      </w:r>
      <w:r w:rsidR="00EC51A4">
        <w:t>carbaryl</w:t>
      </w:r>
      <w:r>
        <w:t>, the CoA, and the potential use sites</w:t>
      </w:r>
      <w:r w:rsidRPr="0023583F">
        <w:t xml:space="preserve"> are combined to estimate the number of treated acres relevant to a given species located in ConUS</w:t>
      </w:r>
      <w:r>
        <w:t xml:space="preserve"> or NL48 (respectively)</w:t>
      </w:r>
      <w:r w:rsidRPr="0023583F">
        <w:t>. These appendices also explain how the off-site transport zone (specifically spray drift) is adjusted based on available usage data.</w:t>
      </w:r>
      <w:r>
        <w:t xml:space="preserve"> </w:t>
      </w:r>
    </w:p>
    <w:p w14:paraId="5281A3BB" w14:textId="77777777" w:rsidR="00851767" w:rsidRDefault="00851767" w:rsidP="00851767">
      <w:pPr>
        <w:spacing w:after="0" w:line="240" w:lineRule="auto"/>
      </w:pPr>
    </w:p>
    <w:p w14:paraId="5273302C" w14:textId="1B2074FD" w:rsidR="00851767" w:rsidRDefault="00851767" w:rsidP="00851767">
      <w:pPr>
        <w:spacing w:after="0" w:line="240" w:lineRule="auto"/>
        <w:rPr>
          <w:rFonts w:eastAsiaTheme="minorEastAsia"/>
        </w:rPr>
      </w:pPr>
      <w:bookmarkStart w:id="22" w:name="_Hlk52770918"/>
      <w:bookmarkStart w:id="23" w:name="_Hlk52771142"/>
      <w:r w:rsidRPr="00800879">
        <w:rPr>
          <w:rFonts w:eastAsiaTheme="minorEastAsia"/>
        </w:rPr>
        <w:t>The Revised Method document stated “</w:t>
      </w:r>
      <w:r w:rsidRPr="00800879">
        <w:t xml:space="preserve">Over time, EPA expects to update the MAGtool and other models and tools described in this document. When a pesticide BE is conducted, it will incorporate the most current versions of models and tools intended for use in the BEs.” </w:t>
      </w:r>
      <w:r w:rsidRPr="00800879">
        <w:rPr>
          <w:rFonts w:eastAsiaTheme="minorEastAsia"/>
        </w:rPr>
        <w:t xml:space="preserve">This BE is consistent with the Revised Method and includes </w:t>
      </w:r>
      <w:r w:rsidR="00003E8C">
        <w:rPr>
          <w:rFonts w:eastAsiaTheme="minorEastAsia"/>
        </w:rPr>
        <w:t>several</w:t>
      </w:r>
      <w:r w:rsidR="00003E8C" w:rsidRPr="00800879">
        <w:rPr>
          <w:rFonts w:eastAsiaTheme="minorEastAsia"/>
        </w:rPr>
        <w:t xml:space="preserve"> </w:t>
      </w:r>
      <w:r w:rsidRPr="00800879">
        <w:rPr>
          <w:rFonts w:eastAsiaTheme="minorEastAsia"/>
        </w:rPr>
        <w:t xml:space="preserve">method updates that are intended to improve the methods for assessing exposure and effects to plants. </w:t>
      </w:r>
      <w:r w:rsidR="00003E8C">
        <w:rPr>
          <w:rFonts w:eastAsiaTheme="minorEastAsia"/>
        </w:rPr>
        <w:t>These updates include:</w:t>
      </w:r>
      <w:r w:rsidRPr="00800879">
        <w:rPr>
          <w:rFonts w:eastAsiaTheme="minorEastAsia"/>
        </w:rPr>
        <w:t xml:space="preserve"> a refined exposure model for plants inhabiting terrestrial, wetland and aquatic habitats</w:t>
      </w:r>
      <w:r w:rsidR="00003E8C">
        <w:rPr>
          <w:rFonts w:eastAsiaTheme="minorEastAsia"/>
        </w:rPr>
        <w:t>;</w:t>
      </w:r>
      <w:r w:rsidRPr="00800879">
        <w:rPr>
          <w:rFonts w:eastAsiaTheme="minorEastAsia"/>
        </w:rPr>
        <w:t xml:space="preserve"> </w:t>
      </w:r>
      <w:bookmarkStart w:id="24" w:name="_Hlk66262205"/>
      <w:r w:rsidR="00003E8C">
        <w:rPr>
          <w:rFonts w:eastAsiaTheme="minorEastAsia"/>
        </w:rPr>
        <w:t>consideration of new methodology for</w:t>
      </w:r>
      <w:r w:rsidRPr="00800879">
        <w:rPr>
          <w:rFonts w:eastAsiaTheme="minorEastAsia"/>
        </w:rPr>
        <w:t xml:space="preserve"> surrogate endpoints for plants when </w:t>
      </w:r>
      <w:r w:rsidRPr="00800879">
        <w:t>No Observed Adverse Effects Concentrations (</w:t>
      </w:r>
      <w:r w:rsidRPr="00800879">
        <w:rPr>
          <w:rFonts w:eastAsiaTheme="minorEastAsia"/>
        </w:rPr>
        <w:t>NOAEC) values are not available</w:t>
      </w:r>
      <w:r w:rsidR="00003E8C">
        <w:rPr>
          <w:rFonts w:eastAsiaTheme="minorEastAsia"/>
        </w:rPr>
        <w:t xml:space="preserve">, updates to the MAGtool to improve accuracy, efficiency and transparency, revision of the spatial footprint for </w:t>
      </w:r>
      <w:r w:rsidR="00003E8C" w:rsidRPr="00003E8C">
        <w:rPr>
          <w:rFonts w:eastAsiaTheme="minorEastAsia"/>
        </w:rPr>
        <w:t>alfalfa</w:t>
      </w:r>
      <w:r w:rsidR="00975844">
        <w:rPr>
          <w:rFonts w:eastAsiaTheme="minorEastAsia"/>
        </w:rPr>
        <w:t xml:space="preserve"> and other agricultural grasses (non-grazing areas)</w:t>
      </w:r>
      <w:r w:rsidR="00003E8C" w:rsidRPr="00003E8C">
        <w:rPr>
          <w:rFonts w:eastAsiaTheme="minorEastAsia"/>
        </w:rPr>
        <w:t>, pasture</w:t>
      </w:r>
      <w:r w:rsidR="00975844">
        <w:rPr>
          <w:rFonts w:eastAsiaTheme="minorEastAsia"/>
        </w:rPr>
        <w:t>/</w:t>
      </w:r>
      <w:r w:rsidR="00003E8C" w:rsidRPr="00003E8C">
        <w:rPr>
          <w:rFonts w:eastAsiaTheme="minorEastAsia"/>
        </w:rPr>
        <w:t>rangeland</w:t>
      </w:r>
      <w:r w:rsidR="00003E8C">
        <w:rPr>
          <w:rFonts w:eastAsiaTheme="minorEastAsia"/>
        </w:rPr>
        <w:t xml:space="preserve"> </w:t>
      </w:r>
      <w:r w:rsidR="00975844">
        <w:rPr>
          <w:rFonts w:eastAsiaTheme="minorEastAsia"/>
        </w:rPr>
        <w:t xml:space="preserve">(grazing areas) </w:t>
      </w:r>
      <w:r w:rsidR="00003E8C">
        <w:rPr>
          <w:rFonts w:eastAsiaTheme="minorEastAsia"/>
        </w:rPr>
        <w:t xml:space="preserve">and </w:t>
      </w:r>
      <w:r w:rsidR="00F52A95">
        <w:rPr>
          <w:rFonts w:eastAsiaTheme="minorEastAsia"/>
        </w:rPr>
        <w:t>revisions to the aquatic modeling for residential uses</w:t>
      </w:r>
      <w:r w:rsidRPr="00965EA8">
        <w:rPr>
          <w:rFonts w:eastAsiaTheme="minorEastAsia"/>
        </w:rPr>
        <w:t>.</w:t>
      </w:r>
      <w:bookmarkEnd w:id="24"/>
      <w:r w:rsidRPr="00800879">
        <w:rPr>
          <w:rFonts w:eastAsiaTheme="minorEastAsia"/>
        </w:rPr>
        <w:t xml:space="preserve"> These approaches are discussed below.</w:t>
      </w:r>
      <w:r w:rsidR="00F52A95">
        <w:rPr>
          <w:rFonts w:eastAsiaTheme="minorEastAsia"/>
        </w:rPr>
        <w:t xml:space="preserve"> Changes to the aquatic modeling for residential uses are discussed further in </w:t>
      </w:r>
      <w:r w:rsidR="00F52A95" w:rsidRPr="009155D4">
        <w:rPr>
          <w:rFonts w:eastAsiaTheme="minorEastAsia"/>
          <w:b/>
        </w:rPr>
        <w:t>Chapter 3</w:t>
      </w:r>
      <w:r w:rsidR="00F52A95" w:rsidRPr="00965EA8">
        <w:rPr>
          <w:rFonts w:eastAsiaTheme="minorEastAsia"/>
        </w:rPr>
        <w:t>.</w:t>
      </w:r>
    </w:p>
    <w:p w14:paraId="280BEFC3" w14:textId="77777777" w:rsidR="00851767" w:rsidRDefault="00851767" w:rsidP="00851767">
      <w:pPr>
        <w:spacing w:after="0" w:line="240" w:lineRule="auto"/>
        <w:rPr>
          <w:rFonts w:eastAsiaTheme="minorEastAsia"/>
        </w:rPr>
      </w:pPr>
    </w:p>
    <w:p w14:paraId="6CF9D544" w14:textId="77777777" w:rsidR="00851767" w:rsidRDefault="00851767" w:rsidP="00851767">
      <w:pPr>
        <w:spacing w:after="0" w:line="240" w:lineRule="auto"/>
        <w:rPr>
          <w:rStyle w:val="eop"/>
          <w:shd w:val="clear" w:color="auto" w:fill="FFFFFF"/>
        </w:rPr>
      </w:pPr>
      <w:r w:rsidRPr="00800879">
        <w:rPr>
          <w:rStyle w:val="normaltextrun"/>
          <w:shd w:val="clear" w:color="auto" w:fill="FFFFFF"/>
        </w:rPr>
        <w:t>To estimate exposures to plants in aquatic, wetland, and terrestrial habitats, this BE uses the Plant Assessment Tool (PAT), a new tool designed to refine screening-level exposure estimates to plants typically generated using TerrPlant. PAT employs mechanistic representations of fate (e.g., degradation) and transport (e.g., runoff), using data that are typically available for pesticides, to model runoff and spray drift exposure to terrestrial and wetland environments. For terrestrial plants, runoff and erosion are modeled using the Pesticide Root Zone Model (PRZM; which is part of PWC) and spray drift is modeled using </w:t>
      </w:r>
      <w:r w:rsidRPr="00800879">
        <w:rPr>
          <w:rStyle w:val="spellingerror"/>
          <w:shd w:val="clear" w:color="auto" w:fill="FFFFFF"/>
        </w:rPr>
        <w:t>AgDRIFT</w:t>
      </w:r>
      <w:r w:rsidRPr="00800879">
        <w:rPr>
          <w:rStyle w:val="normaltextrun"/>
          <w:shd w:val="clear" w:color="auto" w:fill="FFFFFF"/>
        </w:rPr>
        <w:t> deposition values (also incorporated into the MAGtool).  The model uses a mixing cell approach to represent water within the active root zone area of soil, and accounts for flow through the terrestrial plant exposure zone (T-PEZ) caused by both treated field runoff and direct precipitation onto the T-PEZ.  Pesticide losses from the T-PEZ occur from transport (i.e., washout and infiltration below the active root zone) and degradation. Wetlands are modeled using PRZM and the Variable Volume Water Model (VVWM) and are then processed in PAT to estimate aquatic (mass per volume of water) and terrestrial (mass per area) concentrations. Aquatic plant exposure is modeled using the PRZM/VVWM models and the standard pond.</w:t>
      </w:r>
      <w:r w:rsidRPr="00800879">
        <w:rPr>
          <w:rStyle w:val="eop"/>
          <w:shd w:val="clear" w:color="auto" w:fill="FFFFFF"/>
        </w:rPr>
        <w:t> The results from PAT are summarized for use in the MAGtool in the same way as the results from PWC.</w:t>
      </w:r>
    </w:p>
    <w:p w14:paraId="47779234" w14:textId="77777777" w:rsidR="00851767" w:rsidRPr="00800879" w:rsidRDefault="00851767" w:rsidP="00003E8C">
      <w:pPr>
        <w:spacing w:after="0" w:line="240" w:lineRule="auto"/>
        <w:rPr>
          <w:shd w:val="clear" w:color="auto" w:fill="FFFFFF"/>
        </w:rPr>
      </w:pPr>
    </w:p>
    <w:p w14:paraId="64D5A252" w14:textId="009EFD79" w:rsidR="00756102" w:rsidRPr="00756102" w:rsidRDefault="00851767" w:rsidP="008F1A8E">
      <w:pPr>
        <w:spacing w:after="0" w:line="240" w:lineRule="auto"/>
        <w:rPr>
          <w:rFonts w:ascii="Segoe UI" w:eastAsia="Times New Roman" w:hAnsi="Segoe UI" w:cs="Segoe UI"/>
          <w:color w:val="auto"/>
          <w:sz w:val="18"/>
          <w:szCs w:val="18"/>
        </w:rPr>
      </w:pPr>
      <w:r w:rsidRPr="00800879">
        <w:t>For listed terrestrial and wetland plant species, NOAECs from seedling emergence and vegetative vigor studies are used to represent toxicity endpoints. There are often cases where NOAECs are not available (</w:t>
      </w:r>
      <w:r w:rsidRPr="00800879">
        <w:rPr>
          <w:i/>
        </w:rPr>
        <w:t>e.g</w:t>
      </w:r>
      <w:r w:rsidRPr="00800879">
        <w:t xml:space="preserve">., statistically significant effects occurred at all test concentrations) or are considered unreliable. Consistent with OPP’s longstanding practice, in cases where NOAECs are not available or reliable, an ICx value is used as a surrogate. Based on an analysis of the variability in the dry weight and height data of the controls of commonly tested species in vegetative vigor and seedling emergence studies, x values were assigned based on test type and endpoint </w:t>
      </w:r>
      <w:r w:rsidR="003B7163">
        <w:t>(</w:t>
      </w:r>
      <w:r w:rsidR="003B7163" w:rsidRPr="008F1A8E">
        <w:rPr>
          <w:b/>
          <w:bCs/>
        </w:rPr>
        <w:t>Table 1-1</w:t>
      </w:r>
      <w:r w:rsidRPr="00AB2884">
        <w:rPr>
          <w:b/>
          <w:bCs/>
        </w:rPr>
        <w:fldChar w:fldCharType="begin"/>
      </w:r>
      <w:r w:rsidRPr="00965EA8">
        <w:instrText xml:space="preserve"> REF _Ref56678289 \h </w:instrText>
      </w:r>
      <w:r w:rsidR="00965EA8">
        <w:rPr>
          <w:b/>
          <w:bCs/>
        </w:rPr>
        <w:instrText xml:space="preserve"> \* MERGEFORMAT </w:instrText>
      </w:r>
      <w:r w:rsidRPr="00AB2884">
        <w:rPr>
          <w:b/>
          <w:bCs/>
        </w:rPr>
      </w:r>
      <w:r w:rsidRPr="00AB2884">
        <w:rPr>
          <w:b/>
          <w:bCs/>
        </w:rPr>
        <w:fldChar w:fldCharType="end"/>
      </w:r>
      <w:r w:rsidRPr="00965EA8">
        <w:t xml:space="preserve">; supporting details in </w:t>
      </w:r>
      <w:r w:rsidRPr="00965EA8">
        <w:rPr>
          <w:b/>
          <w:bCs/>
        </w:rPr>
        <w:t>ATTACHMENT 1-5</w:t>
      </w:r>
      <w:r w:rsidRPr="00965EA8">
        <w:t xml:space="preserve">). </w:t>
      </w:r>
      <w:r w:rsidRPr="00800879">
        <w:t>This analysis does not consider the biological significance of the percent effect but rather identifies an ICx valu</w:t>
      </w:r>
      <w:r w:rsidRPr="008F1A8E">
        <w:rPr>
          <w:color w:val="000000" w:themeColor="text1"/>
        </w:rPr>
        <w:t>e at which we have confidence the measured effect is discernible.</w:t>
      </w:r>
      <w:r w:rsidRPr="008F1A8E">
        <w:rPr>
          <w:b/>
          <w:color w:val="000000" w:themeColor="text1"/>
        </w:rPr>
        <w:t xml:space="preserve"> </w:t>
      </w:r>
      <w:bookmarkEnd w:id="22"/>
      <w:r w:rsidR="00756102" w:rsidRPr="008F1A8E">
        <w:rPr>
          <w:rFonts w:eastAsia="Times New Roman"/>
          <w:b/>
          <w:bCs/>
          <w:color w:val="000000" w:themeColor="text1"/>
        </w:rPr>
        <w:t>Table 1-1 </w:t>
      </w:r>
      <w:r w:rsidR="00756102" w:rsidRPr="008F1A8E">
        <w:rPr>
          <w:rFonts w:eastAsia="Times New Roman"/>
          <w:color w:val="000000" w:themeColor="text1"/>
        </w:rPr>
        <w:t xml:space="preserve">presents the ICx values </w:t>
      </w:r>
      <w:r w:rsidR="00756102" w:rsidRPr="00283D91">
        <w:rPr>
          <w:rFonts w:eastAsia="Times New Roman"/>
          <w:color w:val="000000" w:themeColor="text1"/>
        </w:rPr>
        <w:t>that can be</w:t>
      </w:r>
      <w:r w:rsidR="00756102" w:rsidRPr="008F1A8E">
        <w:rPr>
          <w:rFonts w:eastAsia="Times New Roman"/>
          <w:color w:val="000000" w:themeColor="text1"/>
        </w:rPr>
        <w:t xml:space="preserve"> used as the Step 1 and 2 thresholds when a reliable NOAEC value is not available.</w:t>
      </w:r>
      <w:r w:rsidR="00756102" w:rsidRPr="008F1A8E">
        <w:rPr>
          <w:rFonts w:eastAsia="Times New Roman"/>
          <w:color w:val="000000" w:themeColor="text1"/>
          <w:u w:val="single"/>
        </w:rPr>
        <w:t> </w:t>
      </w:r>
      <w:r w:rsidR="00756102" w:rsidRPr="008F1A8E">
        <w:rPr>
          <w:rFonts w:eastAsia="Times New Roman"/>
          <w:color w:val="000000" w:themeColor="text1"/>
        </w:rPr>
        <w:t>However, this method was not necessary to use</w:t>
      </w:r>
      <w:r w:rsidR="00AD34B2" w:rsidRPr="008F1A8E">
        <w:rPr>
          <w:rFonts w:eastAsia="Times New Roman"/>
          <w:color w:val="000000" w:themeColor="text1"/>
        </w:rPr>
        <w:t xml:space="preserve"> </w:t>
      </w:r>
      <w:r w:rsidR="00756102" w:rsidRPr="008F1A8E">
        <w:rPr>
          <w:rFonts w:eastAsia="Times New Roman"/>
          <w:color w:val="000000" w:themeColor="text1"/>
        </w:rPr>
        <w:t>because a reliable NOAEC was available.  </w:t>
      </w:r>
    </w:p>
    <w:p w14:paraId="72C10019" w14:textId="7A5C84E7" w:rsidR="00756102" w:rsidRPr="00756102" w:rsidRDefault="00756102" w:rsidP="00756102">
      <w:pPr>
        <w:spacing w:after="0" w:line="240" w:lineRule="auto"/>
        <w:textAlignment w:val="baseline"/>
        <w:rPr>
          <w:rFonts w:ascii="Segoe UI" w:eastAsia="Times New Roman" w:hAnsi="Segoe UI" w:cs="Segoe UI"/>
          <w:color w:val="auto"/>
          <w:sz w:val="18"/>
          <w:szCs w:val="18"/>
        </w:rPr>
      </w:pPr>
    </w:p>
    <w:p w14:paraId="712DB6E4" w14:textId="6C01BDBC" w:rsidR="00756102" w:rsidRPr="00756102" w:rsidRDefault="00C60E35" w:rsidP="00756102">
      <w:pPr>
        <w:spacing w:after="0" w:line="240" w:lineRule="auto"/>
        <w:textAlignment w:val="baseline"/>
        <w:rPr>
          <w:rFonts w:ascii="Segoe UI" w:eastAsia="Times New Roman" w:hAnsi="Segoe UI" w:cs="Segoe UI"/>
          <w:i/>
          <w:iCs/>
          <w:color w:val="44546A"/>
          <w:sz w:val="18"/>
          <w:szCs w:val="18"/>
        </w:rPr>
      </w:pPr>
      <w:r>
        <w:rPr>
          <w:rFonts w:eastAsia="Times New Roman"/>
          <w:b/>
          <w:bCs/>
          <w:color w:val="auto"/>
        </w:rPr>
        <w:t>Table 1-1.</w:t>
      </w:r>
      <w:r w:rsidR="00756102" w:rsidRPr="00756102">
        <w:rPr>
          <w:rFonts w:eastAsia="Times New Roman"/>
          <w:b/>
          <w:bCs/>
          <w:color w:val="auto"/>
        </w:rPr>
        <w:t xml:space="preserve"> Alternate Step 1 and 2 thresholds.</w:t>
      </w:r>
      <w:r w:rsidR="00756102" w:rsidRPr="00756102">
        <w:rPr>
          <w:rFonts w:eastAsia="Times New Roman"/>
          <w:i/>
          <w:iCs/>
          <w:color w:val="aut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3105"/>
        <w:gridCol w:w="3105"/>
      </w:tblGrid>
      <w:tr w:rsidR="00756102" w:rsidRPr="00756102" w14:paraId="5F787010" w14:textId="77777777" w:rsidTr="00756102">
        <w:tc>
          <w:tcPr>
            <w:tcW w:w="3105" w:type="dxa"/>
            <w:tcBorders>
              <w:top w:val="single" w:sz="6" w:space="0" w:color="auto"/>
              <w:left w:val="single" w:sz="6" w:space="0" w:color="auto"/>
              <w:bottom w:val="single" w:sz="6" w:space="0" w:color="auto"/>
              <w:right w:val="single" w:sz="6" w:space="0" w:color="auto"/>
            </w:tcBorders>
            <w:shd w:val="clear" w:color="auto" w:fill="D9D9D9"/>
            <w:hideMark/>
          </w:tcPr>
          <w:p w14:paraId="01CE33C1" w14:textId="77777777" w:rsidR="00756102" w:rsidRPr="00756102" w:rsidRDefault="00756102" w:rsidP="00756102">
            <w:pPr>
              <w:spacing w:after="0" w:line="240" w:lineRule="auto"/>
              <w:textAlignment w:val="baseline"/>
              <w:rPr>
                <w:rFonts w:ascii="Times New Roman" w:eastAsia="Times New Roman" w:hAnsi="Times New Roman" w:cs="Times New Roman"/>
                <w:color w:val="auto"/>
                <w:sz w:val="24"/>
                <w:szCs w:val="24"/>
              </w:rPr>
            </w:pPr>
            <w:r w:rsidRPr="00756102">
              <w:rPr>
                <w:rFonts w:eastAsia="Times New Roman"/>
                <w:b/>
                <w:bCs/>
                <w:color w:val="auto"/>
              </w:rPr>
              <w:t>Test Type</w:t>
            </w:r>
            <w:r w:rsidRPr="00756102">
              <w:rPr>
                <w:rFonts w:eastAsia="Times New Roman"/>
                <w:color w:val="auto"/>
              </w:rPr>
              <w:t> </w:t>
            </w:r>
          </w:p>
        </w:tc>
        <w:tc>
          <w:tcPr>
            <w:tcW w:w="3105" w:type="dxa"/>
            <w:tcBorders>
              <w:top w:val="single" w:sz="6" w:space="0" w:color="auto"/>
              <w:left w:val="nil"/>
              <w:bottom w:val="single" w:sz="6" w:space="0" w:color="auto"/>
              <w:right w:val="single" w:sz="6" w:space="0" w:color="auto"/>
            </w:tcBorders>
            <w:shd w:val="clear" w:color="auto" w:fill="D9D9D9"/>
            <w:hideMark/>
          </w:tcPr>
          <w:p w14:paraId="5EA42E61" w14:textId="77777777" w:rsidR="00756102" w:rsidRPr="00756102" w:rsidRDefault="00756102" w:rsidP="00756102">
            <w:pPr>
              <w:spacing w:after="0" w:line="240" w:lineRule="auto"/>
              <w:jc w:val="center"/>
              <w:textAlignment w:val="baseline"/>
              <w:rPr>
                <w:rFonts w:ascii="Times New Roman" w:eastAsia="Times New Roman" w:hAnsi="Times New Roman" w:cs="Times New Roman"/>
                <w:color w:val="auto"/>
                <w:sz w:val="24"/>
                <w:szCs w:val="24"/>
              </w:rPr>
            </w:pPr>
            <w:r w:rsidRPr="00756102">
              <w:rPr>
                <w:rFonts w:eastAsia="Times New Roman"/>
                <w:b/>
                <w:bCs/>
                <w:color w:val="auto"/>
              </w:rPr>
              <w:t>Dry Weight</w:t>
            </w:r>
            <w:r w:rsidRPr="00756102">
              <w:rPr>
                <w:rFonts w:eastAsia="Times New Roman"/>
                <w:color w:val="auto"/>
              </w:rPr>
              <w:t> </w:t>
            </w:r>
          </w:p>
        </w:tc>
        <w:tc>
          <w:tcPr>
            <w:tcW w:w="3105" w:type="dxa"/>
            <w:tcBorders>
              <w:top w:val="single" w:sz="6" w:space="0" w:color="auto"/>
              <w:left w:val="nil"/>
              <w:bottom w:val="single" w:sz="6" w:space="0" w:color="auto"/>
              <w:right w:val="single" w:sz="6" w:space="0" w:color="auto"/>
            </w:tcBorders>
            <w:shd w:val="clear" w:color="auto" w:fill="D9D9D9"/>
            <w:hideMark/>
          </w:tcPr>
          <w:p w14:paraId="5B943314" w14:textId="77777777" w:rsidR="00756102" w:rsidRPr="00756102" w:rsidRDefault="00756102" w:rsidP="00756102">
            <w:pPr>
              <w:spacing w:after="0" w:line="240" w:lineRule="auto"/>
              <w:jc w:val="center"/>
              <w:textAlignment w:val="baseline"/>
              <w:rPr>
                <w:rFonts w:ascii="Times New Roman" w:eastAsia="Times New Roman" w:hAnsi="Times New Roman" w:cs="Times New Roman"/>
                <w:color w:val="auto"/>
                <w:sz w:val="24"/>
                <w:szCs w:val="24"/>
              </w:rPr>
            </w:pPr>
            <w:r w:rsidRPr="00756102">
              <w:rPr>
                <w:rFonts w:eastAsia="Times New Roman"/>
                <w:b/>
                <w:bCs/>
                <w:color w:val="auto"/>
              </w:rPr>
              <w:t>Shoot Height</w:t>
            </w:r>
            <w:r w:rsidRPr="00756102">
              <w:rPr>
                <w:rFonts w:eastAsia="Times New Roman"/>
                <w:color w:val="auto"/>
              </w:rPr>
              <w:t> </w:t>
            </w:r>
          </w:p>
        </w:tc>
      </w:tr>
      <w:tr w:rsidR="00756102" w:rsidRPr="00756102" w14:paraId="1CF8D357" w14:textId="77777777" w:rsidTr="00756102">
        <w:tc>
          <w:tcPr>
            <w:tcW w:w="3105" w:type="dxa"/>
            <w:tcBorders>
              <w:top w:val="nil"/>
              <w:left w:val="single" w:sz="6" w:space="0" w:color="auto"/>
              <w:bottom w:val="single" w:sz="6" w:space="0" w:color="auto"/>
              <w:right w:val="single" w:sz="6" w:space="0" w:color="auto"/>
            </w:tcBorders>
            <w:shd w:val="clear" w:color="auto" w:fill="auto"/>
            <w:hideMark/>
          </w:tcPr>
          <w:p w14:paraId="2A7001F0" w14:textId="77777777" w:rsidR="00756102" w:rsidRPr="00756102" w:rsidRDefault="00756102" w:rsidP="00756102">
            <w:pPr>
              <w:spacing w:after="0" w:line="240" w:lineRule="auto"/>
              <w:textAlignment w:val="baseline"/>
              <w:rPr>
                <w:rFonts w:ascii="Times New Roman" w:eastAsia="Times New Roman" w:hAnsi="Times New Roman" w:cs="Times New Roman"/>
                <w:color w:val="auto"/>
                <w:sz w:val="24"/>
                <w:szCs w:val="24"/>
              </w:rPr>
            </w:pPr>
            <w:r w:rsidRPr="00756102">
              <w:rPr>
                <w:rFonts w:eastAsia="Times New Roman"/>
                <w:color w:val="auto"/>
              </w:rPr>
              <w:t>Vegetative Vigor </w:t>
            </w:r>
          </w:p>
        </w:tc>
        <w:tc>
          <w:tcPr>
            <w:tcW w:w="3105" w:type="dxa"/>
            <w:tcBorders>
              <w:top w:val="nil"/>
              <w:left w:val="nil"/>
              <w:bottom w:val="single" w:sz="6" w:space="0" w:color="auto"/>
              <w:right w:val="single" w:sz="6" w:space="0" w:color="auto"/>
            </w:tcBorders>
            <w:shd w:val="clear" w:color="auto" w:fill="auto"/>
            <w:hideMark/>
          </w:tcPr>
          <w:p w14:paraId="26070BC9" w14:textId="77777777" w:rsidR="00756102" w:rsidRPr="00756102" w:rsidRDefault="00756102" w:rsidP="00756102">
            <w:pPr>
              <w:spacing w:after="0" w:line="240" w:lineRule="auto"/>
              <w:jc w:val="center"/>
              <w:textAlignment w:val="baseline"/>
              <w:rPr>
                <w:rFonts w:ascii="Times New Roman" w:eastAsia="Times New Roman" w:hAnsi="Times New Roman" w:cs="Times New Roman"/>
                <w:color w:val="auto"/>
                <w:sz w:val="24"/>
                <w:szCs w:val="24"/>
              </w:rPr>
            </w:pPr>
            <w:r w:rsidRPr="00756102">
              <w:rPr>
                <w:rFonts w:eastAsia="Times New Roman"/>
                <w:color w:val="auto"/>
              </w:rPr>
              <w:t>IC</w:t>
            </w:r>
            <w:r w:rsidRPr="00756102">
              <w:rPr>
                <w:rFonts w:eastAsia="Times New Roman"/>
                <w:color w:val="auto"/>
                <w:sz w:val="17"/>
                <w:szCs w:val="17"/>
                <w:vertAlign w:val="subscript"/>
              </w:rPr>
              <w:t>15</w:t>
            </w:r>
            <w:r w:rsidRPr="00756102">
              <w:rPr>
                <w:rFonts w:eastAsia="Times New Roman"/>
                <w:color w:val="auto"/>
                <w:sz w:val="17"/>
                <w:szCs w:val="17"/>
              </w:rPr>
              <w:t> </w:t>
            </w:r>
          </w:p>
        </w:tc>
        <w:tc>
          <w:tcPr>
            <w:tcW w:w="3105" w:type="dxa"/>
            <w:tcBorders>
              <w:top w:val="nil"/>
              <w:left w:val="nil"/>
              <w:bottom w:val="single" w:sz="6" w:space="0" w:color="auto"/>
              <w:right w:val="single" w:sz="6" w:space="0" w:color="auto"/>
            </w:tcBorders>
            <w:shd w:val="clear" w:color="auto" w:fill="auto"/>
            <w:hideMark/>
          </w:tcPr>
          <w:p w14:paraId="775BEF50" w14:textId="77777777" w:rsidR="00756102" w:rsidRPr="00756102" w:rsidRDefault="00756102" w:rsidP="00756102">
            <w:pPr>
              <w:spacing w:after="0" w:line="240" w:lineRule="auto"/>
              <w:jc w:val="center"/>
              <w:textAlignment w:val="baseline"/>
              <w:rPr>
                <w:rFonts w:ascii="Times New Roman" w:eastAsia="Times New Roman" w:hAnsi="Times New Roman" w:cs="Times New Roman"/>
                <w:color w:val="auto"/>
                <w:sz w:val="24"/>
                <w:szCs w:val="24"/>
              </w:rPr>
            </w:pPr>
            <w:r w:rsidRPr="00756102">
              <w:rPr>
                <w:rFonts w:eastAsia="Times New Roman"/>
                <w:color w:val="auto"/>
              </w:rPr>
              <w:t>IC</w:t>
            </w:r>
            <w:r w:rsidRPr="00756102">
              <w:rPr>
                <w:rFonts w:eastAsia="Times New Roman"/>
                <w:color w:val="auto"/>
                <w:sz w:val="17"/>
                <w:szCs w:val="17"/>
                <w:vertAlign w:val="subscript"/>
              </w:rPr>
              <w:t>10</w:t>
            </w:r>
            <w:r w:rsidRPr="00756102">
              <w:rPr>
                <w:rFonts w:eastAsia="Times New Roman"/>
                <w:color w:val="auto"/>
                <w:sz w:val="17"/>
                <w:szCs w:val="17"/>
              </w:rPr>
              <w:t> </w:t>
            </w:r>
          </w:p>
        </w:tc>
      </w:tr>
      <w:tr w:rsidR="00756102" w:rsidRPr="00756102" w14:paraId="7D843057" w14:textId="77777777" w:rsidTr="00756102">
        <w:tc>
          <w:tcPr>
            <w:tcW w:w="3105" w:type="dxa"/>
            <w:tcBorders>
              <w:top w:val="nil"/>
              <w:left w:val="single" w:sz="6" w:space="0" w:color="auto"/>
              <w:bottom w:val="single" w:sz="6" w:space="0" w:color="auto"/>
              <w:right w:val="single" w:sz="6" w:space="0" w:color="auto"/>
            </w:tcBorders>
            <w:shd w:val="clear" w:color="auto" w:fill="auto"/>
            <w:hideMark/>
          </w:tcPr>
          <w:p w14:paraId="10D06D13" w14:textId="77777777" w:rsidR="00756102" w:rsidRPr="00756102" w:rsidRDefault="00756102" w:rsidP="00756102">
            <w:pPr>
              <w:spacing w:after="0" w:line="240" w:lineRule="auto"/>
              <w:textAlignment w:val="baseline"/>
              <w:rPr>
                <w:rFonts w:ascii="Times New Roman" w:eastAsia="Times New Roman" w:hAnsi="Times New Roman" w:cs="Times New Roman"/>
                <w:color w:val="auto"/>
                <w:sz w:val="24"/>
                <w:szCs w:val="24"/>
              </w:rPr>
            </w:pPr>
            <w:r w:rsidRPr="00756102">
              <w:rPr>
                <w:rFonts w:eastAsia="Times New Roman"/>
                <w:color w:val="auto"/>
              </w:rPr>
              <w:t>Seedling Emergence </w:t>
            </w:r>
          </w:p>
        </w:tc>
        <w:tc>
          <w:tcPr>
            <w:tcW w:w="3105" w:type="dxa"/>
            <w:tcBorders>
              <w:top w:val="nil"/>
              <w:left w:val="nil"/>
              <w:bottom w:val="single" w:sz="6" w:space="0" w:color="auto"/>
              <w:right w:val="single" w:sz="6" w:space="0" w:color="auto"/>
            </w:tcBorders>
            <w:shd w:val="clear" w:color="auto" w:fill="auto"/>
            <w:hideMark/>
          </w:tcPr>
          <w:p w14:paraId="26F53BC9" w14:textId="77777777" w:rsidR="00756102" w:rsidRPr="00756102" w:rsidRDefault="00756102" w:rsidP="00756102">
            <w:pPr>
              <w:spacing w:after="0" w:line="240" w:lineRule="auto"/>
              <w:jc w:val="center"/>
              <w:textAlignment w:val="baseline"/>
              <w:rPr>
                <w:rFonts w:ascii="Times New Roman" w:eastAsia="Times New Roman" w:hAnsi="Times New Roman" w:cs="Times New Roman"/>
                <w:color w:val="auto"/>
                <w:sz w:val="24"/>
                <w:szCs w:val="24"/>
              </w:rPr>
            </w:pPr>
            <w:r w:rsidRPr="00756102">
              <w:rPr>
                <w:rFonts w:eastAsia="Times New Roman"/>
                <w:color w:val="auto"/>
              </w:rPr>
              <w:t>IC</w:t>
            </w:r>
            <w:r w:rsidRPr="00756102">
              <w:rPr>
                <w:rFonts w:eastAsia="Times New Roman"/>
                <w:color w:val="auto"/>
                <w:sz w:val="17"/>
                <w:szCs w:val="17"/>
                <w:vertAlign w:val="subscript"/>
              </w:rPr>
              <w:t>20</w:t>
            </w:r>
            <w:r w:rsidRPr="00756102">
              <w:rPr>
                <w:rFonts w:eastAsia="Times New Roman"/>
                <w:color w:val="auto"/>
                <w:sz w:val="17"/>
                <w:szCs w:val="17"/>
              </w:rPr>
              <w:t> </w:t>
            </w:r>
          </w:p>
        </w:tc>
        <w:tc>
          <w:tcPr>
            <w:tcW w:w="3105" w:type="dxa"/>
            <w:tcBorders>
              <w:top w:val="nil"/>
              <w:left w:val="nil"/>
              <w:bottom w:val="single" w:sz="6" w:space="0" w:color="auto"/>
              <w:right w:val="single" w:sz="6" w:space="0" w:color="auto"/>
            </w:tcBorders>
            <w:shd w:val="clear" w:color="auto" w:fill="auto"/>
            <w:hideMark/>
          </w:tcPr>
          <w:p w14:paraId="2903453E" w14:textId="77777777" w:rsidR="00756102" w:rsidRPr="00756102" w:rsidRDefault="00756102" w:rsidP="00756102">
            <w:pPr>
              <w:spacing w:after="0" w:line="240" w:lineRule="auto"/>
              <w:jc w:val="center"/>
              <w:textAlignment w:val="baseline"/>
              <w:rPr>
                <w:rFonts w:ascii="Times New Roman" w:eastAsia="Times New Roman" w:hAnsi="Times New Roman" w:cs="Times New Roman"/>
                <w:color w:val="auto"/>
                <w:sz w:val="24"/>
                <w:szCs w:val="24"/>
              </w:rPr>
            </w:pPr>
            <w:r w:rsidRPr="00756102">
              <w:rPr>
                <w:rFonts w:eastAsia="Times New Roman"/>
                <w:color w:val="auto"/>
              </w:rPr>
              <w:t>IC</w:t>
            </w:r>
            <w:r w:rsidRPr="00756102">
              <w:rPr>
                <w:rFonts w:eastAsia="Times New Roman"/>
                <w:color w:val="auto"/>
                <w:sz w:val="17"/>
                <w:szCs w:val="17"/>
                <w:vertAlign w:val="subscript"/>
              </w:rPr>
              <w:t>10</w:t>
            </w:r>
            <w:r w:rsidRPr="00756102">
              <w:rPr>
                <w:rFonts w:eastAsia="Times New Roman"/>
                <w:color w:val="auto"/>
                <w:sz w:val="17"/>
                <w:szCs w:val="17"/>
              </w:rPr>
              <w:t> </w:t>
            </w:r>
          </w:p>
        </w:tc>
      </w:tr>
    </w:tbl>
    <w:p w14:paraId="533F6B1F" w14:textId="7683B7B6" w:rsidR="00756102" w:rsidRPr="008F1A8E" w:rsidRDefault="00756102" w:rsidP="00756102">
      <w:pPr>
        <w:spacing w:after="0" w:line="240" w:lineRule="auto"/>
        <w:textAlignment w:val="baseline"/>
        <w:rPr>
          <w:rStyle w:val="eop"/>
          <w:sz w:val="20"/>
          <w:szCs w:val="20"/>
          <w:shd w:val="clear" w:color="auto" w:fill="FFFFFF"/>
        </w:rPr>
      </w:pPr>
      <w:r w:rsidRPr="00756102">
        <w:rPr>
          <w:rFonts w:eastAsia="Times New Roman"/>
        </w:rPr>
        <w:t> </w:t>
      </w:r>
      <w:r w:rsidR="00F94F80" w:rsidRPr="008F1A8E">
        <w:rPr>
          <w:rStyle w:val="normaltextrun"/>
          <w:color w:val="000000" w:themeColor="text1"/>
          <w:sz w:val="17"/>
          <w:szCs w:val="17"/>
          <w:shd w:val="clear" w:color="auto" w:fill="FFFFFF"/>
          <w:vertAlign w:val="superscript"/>
        </w:rPr>
        <w:t>1 </w:t>
      </w:r>
      <w:r w:rsidR="00F94F80" w:rsidRPr="008F1A8E">
        <w:rPr>
          <w:rStyle w:val="spellingerror"/>
          <w:color w:val="000000" w:themeColor="text1"/>
          <w:shd w:val="clear" w:color="auto" w:fill="FFFFFF"/>
        </w:rPr>
        <w:t>IC</w:t>
      </w:r>
      <w:r w:rsidR="00F94F80" w:rsidRPr="008F1A8E">
        <w:rPr>
          <w:rStyle w:val="spellingerror"/>
          <w:color w:val="000000" w:themeColor="text1"/>
          <w:sz w:val="17"/>
          <w:szCs w:val="17"/>
          <w:shd w:val="clear" w:color="auto" w:fill="FFFFFF"/>
          <w:vertAlign w:val="subscript"/>
        </w:rPr>
        <w:t>x</w:t>
      </w:r>
      <w:r w:rsidR="00F94F80" w:rsidRPr="008F1A8E">
        <w:rPr>
          <w:rStyle w:val="normaltextrun"/>
          <w:color w:val="000000" w:themeColor="text1"/>
          <w:shd w:val="clear" w:color="auto" w:fill="FFFFFF"/>
        </w:rPr>
        <w:t> values </w:t>
      </w:r>
      <w:r w:rsidR="00F94F80" w:rsidRPr="008F1A8E">
        <w:rPr>
          <w:rStyle w:val="normaltextrun"/>
          <w:color w:val="000000" w:themeColor="text1"/>
          <w:sz w:val="20"/>
          <w:szCs w:val="20"/>
          <w:shd w:val="clear" w:color="auto" w:fill="FFFFFF"/>
        </w:rPr>
        <w:t>can be used as the Step 1 and 2 thresholds when a reliable NOAEC value is not available. However, this method was not necessary to use for carbaryl, because a reliable NOAEC was available.</w:t>
      </w:r>
      <w:r w:rsidR="00F94F80" w:rsidRPr="008F1A8E">
        <w:rPr>
          <w:rStyle w:val="eop"/>
          <w:color w:val="000000" w:themeColor="text1"/>
          <w:sz w:val="20"/>
          <w:szCs w:val="20"/>
          <w:shd w:val="clear" w:color="auto" w:fill="FFFFFF"/>
        </w:rPr>
        <w:t> </w:t>
      </w:r>
    </w:p>
    <w:p w14:paraId="0E2F74B0" w14:textId="77777777" w:rsidR="00F94F80" w:rsidRPr="00756102" w:rsidRDefault="00F94F80" w:rsidP="00756102">
      <w:pPr>
        <w:spacing w:after="0" w:line="240" w:lineRule="auto"/>
        <w:textAlignment w:val="baseline"/>
        <w:rPr>
          <w:rFonts w:ascii="Segoe UI" w:eastAsia="Times New Roman" w:hAnsi="Segoe UI" w:cs="Segoe UI"/>
          <w:color w:val="auto"/>
          <w:sz w:val="18"/>
          <w:szCs w:val="18"/>
        </w:rPr>
      </w:pPr>
    </w:p>
    <w:bookmarkEnd w:id="23"/>
    <w:p w14:paraId="3450BC73" w14:textId="1032C79F" w:rsidR="000E30C0" w:rsidRDefault="000E30C0" w:rsidP="00965EA8">
      <w:pPr>
        <w:spacing w:after="0" w:line="240" w:lineRule="auto"/>
      </w:pPr>
      <w:r w:rsidRPr="00965EA8">
        <w:t xml:space="preserve">Based on public </w:t>
      </w:r>
      <w:r w:rsidR="00F72173" w:rsidRPr="00965EA8">
        <w:t xml:space="preserve">comments </w:t>
      </w:r>
      <w:r w:rsidRPr="00965EA8">
        <w:t>and continued work to improve the tools, modification</w:t>
      </w:r>
      <w:r w:rsidR="00970DB9">
        <w:t>s</w:t>
      </w:r>
      <w:r>
        <w:t xml:space="preserve"> were made to the MAGtool and an updated version was used in the final analysis. Updates to the tool incorporated continued efforts to improve the efficiency, </w:t>
      </w:r>
      <w:r w:rsidR="00283D91">
        <w:t>accuracy,</w:t>
      </w:r>
      <w:r>
        <w:t xml:space="preserve"> and refinement of the tool. These updates </w:t>
      </w:r>
      <w:r w:rsidR="006718AF">
        <w:t xml:space="preserve">are outlined more fully in the MAGtool documentation included </w:t>
      </w:r>
      <w:r w:rsidR="00970DB9">
        <w:t>on the m</w:t>
      </w:r>
      <w:r w:rsidR="006718AF">
        <w:t>odels</w:t>
      </w:r>
      <w:r w:rsidR="00970DB9">
        <w:t xml:space="preserve"> website</w:t>
      </w:r>
      <w:r w:rsidR="00A147D2" w:rsidRPr="004A5A99">
        <w:rPr>
          <w:vertAlign w:val="superscript"/>
        </w:rPr>
        <w:t>11</w:t>
      </w:r>
      <w:r w:rsidR="00970DB9">
        <w:t xml:space="preserve"> </w:t>
      </w:r>
      <w:r w:rsidR="006718AF">
        <w:t xml:space="preserve">and </w:t>
      </w:r>
      <w:r>
        <w:t>included</w:t>
      </w:r>
      <w:r w:rsidR="006718AF">
        <w:t xml:space="preserve"> </w:t>
      </w:r>
      <w:r>
        <w:t xml:space="preserve">incorporation of a new batch function analysis, </w:t>
      </w:r>
      <w:r w:rsidR="006718AF">
        <w:t>improvements to spray drift analysis methods and input options</w:t>
      </w:r>
      <w:r w:rsidR="00624B3F">
        <w:t>,</w:t>
      </w:r>
      <w:r w:rsidR="00970DB9">
        <w:t xml:space="preserve"> as well as the ability to make effects determinations </w:t>
      </w:r>
      <w:r w:rsidR="00FC49E4">
        <w:t xml:space="preserve">either </w:t>
      </w:r>
      <w:r w:rsidR="00970DB9">
        <w:t>deterministically or probabilistically.</w:t>
      </w:r>
      <w:r w:rsidR="006718AF">
        <w:t xml:space="preserve"> </w:t>
      </w:r>
      <w:r>
        <w:t xml:space="preserve"> </w:t>
      </w:r>
      <w:r w:rsidR="00970DB9">
        <w:t>The model allows the user to make d</w:t>
      </w:r>
      <w:r w:rsidRPr="000E30C0">
        <w:t xml:space="preserve">eterministic calculations using the upper and lower bounds of the exposure assumptions, </w:t>
      </w:r>
      <w:r w:rsidR="00F72173">
        <w:t>or using</w:t>
      </w:r>
      <w:r w:rsidRPr="000E30C0">
        <w:t xml:space="preserve"> </w:t>
      </w:r>
      <w:r w:rsidR="00970DB9">
        <w:t xml:space="preserve">a </w:t>
      </w:r>
      <w:r w:rsidRPr="000E30C0">
        <w:t xml:space="preserve">probabilistic analysis, to determine impacts to a species based on mortality effects, sublethal effect or effects to </w:t>
      </w:r>
      <w:r w:rsidR="006B799F" w:rsidRPr="008A10CB">
        <w:t>prey, pollination, habitat, and dispersal vectors</w:t>
      </w:r>
      <w:r w:rsidR="006B799F" w:rsidRPr="000E30C0">
        <w:t xml:space="preserve"> </w:t>
      </w:r>
      <w:r w:rsidR="006B799F">
        <w:t>(</w:t>
      </w:r>
      <w:r w:rsidRPr="000E30C0">
        <w:t>PPHD</w:t>
      </w:r>
      <w:r w:rsidR="006B799F">
        <w:t>)</w:t>
      </w:r>
      <w:r w:rsidRPr="000E30C0">
        <w:t xml:space="preserve">. </w:t>
      </w:r>
      <w:r w:rsidR="00970DB9" w:rsidRPr="00970DB9">
        <w:t>This was done to provide more transparency to the results calculations</w:t>
      </w:r>
      <w:r w:rsidR="00970DB9">
        <w:t xml:space="preserve"> </w:t>
      </w:r>
      <w:r w:rsidR="00970DB9" w:rsidRPr="00970DB9">
        <w:t xml:space="preserve">and to </w:t>
      </w:r>
      <w:r w:rsidR="00624B3F">
        <w:t xml:space="preserve">streamline the calculations </w:t>
      </w:r>
      <w:r w:rsidR="007D004C">
        <w:t xml:space="preserve">for </w:t>
      </w:r>
      <w:r w:rsidR="00385703">
        <w:t>shorter run times</w:t>
      </w:r>
      <w:r w:rsidR="00970DB9" w:rsidRPr="00970DB9">
        <w:t>. For a subset of species, selected based on the potential to refine the effects analysis, probabilistic analysis was used in making effects determinations.</w:t>
      </w:r>
      <w:r w:rsidRPr="000E30C0">
        <w:t xml:space="preserve"> For the majority of species, as impacts are predicted even at the minimum or lower bound of exposure assumptions, the probabilistic analysis does not change the effects determination</w:t>
      </w:r>
      <w:r w:rsidR="00385703">
        <w:t xml:space="preserve"> and was not conducted</w:t>
      </w:r>
      <w:r w:rsidRPr="000E30C0">
        <w:t>.</w:t>
      </w:r>
    </w:p>
    <w:p w14:paraId="1ADC56DF" w14:textId="77777777" w:rsidR="00965EA8" w:rsidRPr="00965EA8" w:rsidRDefault="00965EA8" w:rsidP="009155D4">
      <w:pPr>
        <w:spacing w:after="0" w:line="240" w:lineRule="auto"/>
      </w:pPr>
    </w:p>
    <w:p w14:paraId="6A736E1A" w14:textId="24A2E7F8" w:rsidR="00970DB9" w:rsidRDefault="00970DB9" w:rsidP="009155D4">
      <w:pPr>
        <w:spacing w:after="0" w:line="240" w:lineRule="auto"/>
      </w:pPr>
      <w:r>
        <w:t>In an update to the spatial analysis used for the BE, t</w:t>
      </w:r>
      <w:r w:rsidRPr="00970DB9">
        <w:t>he final BEs include updates to the pasture and rangeland UDLs</w:t>
      </w:r>
      <w:r>
        <w:t xml:space="preserve"> and include a new Alfalfa UDL</w:t>
      </w:r>
      <w:r w:rsidRPr="00970DB9">
        <w:t xml:space="preserve">. Cultivated grasses and grass crops, as identified in USDA Cultivated Layers are included in the new Alfalfa UDL. These crops included </w:t>
      </w:r>
      <w:r w:rsidR="00385703">
        <w:t>a</w:t>
      </w:r>
      <w:r w:rsidRPr="00970DB9">
        <w:t xml:space="preserve">lfalfa </w:t>
      </w:r>
      <w:r w:rsidR="00385703">
        <w:t>s</w:t>
      </w:r>
      <w:r w:rsidRPr="00970DB9">
        <w:t xml:space="preserve">witchgrass, and </w:t>
      </w:r>
      <w:r w:rsidR="00385703">
        <w:t>v</w:t>
      </w:r>
      <w:r w:rsidRPr="00970DB9">
        <w:t>etch</w:t>
      </w:r>
      <w:r w:rsidR="00385703">
        <w:t>.</w:t>
      </w:r>
      <w:r w:rsidRPr="00970DB9">
        <w:t xml:space="preserve"> </w:t>
      </w:r>
      <w:bookmarkStart w:id="25" w:name="_Hlk66732097"/>
      <w:r w:rsidR="0088D37E">
        <w:t xml:space="preserve">This new layer </w:t>
      </w:r>
      <w:r w:rsidR="007179E6">
        <w:t>represents</w:t>
      </w:r>
      <w:r w:rsidR="0088D37E">
        <w:t xml:space="preserve"> alfalfa and other agricultural grasses/non-grazing areas.</w:t>
      </w:r>
      <w:r w:rsidR="007179E6">
        <w:t xml:space="preserve"> </w:t>
      </w:r>
      <w:bookmarkEnd w:id="25"/>
      <w:r w:rsidRPr="00970DB9">
        <w:t xml:space="preserve">Non-cultivated pasture/grass areas typically used for grazing are included in the new Pasture/Rangeland UDL. This Pasture/Rangeland UDL </w:t>
      </w:r>
      <w:r>
        <w:t xml:space="preserve">(referred to in </w:t>
      </w:r>
      <w:r w:rsidR="51C7E041">
        <w:t>previous</w:t>
      </w:r>
      <w:r>
        <w:t xml:space="preserve"> assessment</w:t>
      </w:r>
      <w:r w:rsidR="3D71E2BB">
        <w:t>s</w:t>
      </w:r>
      <w:r>
        <w:t xml:space="preserve"> as Rangeland) </w:t>
      </w:r>
      <w:r w:rsidRPr="00970DB9">
        <w:t xml:space="preserve">includes CDL land cover categories, Other Hay/Non- Alfalfa, Pasture/Grass, Pasture/Hay, </w:t>
      </w:r>
      <w:r w:rsidR="582E76A5">
        <w:t xml:space="preserve">Pasture from the NLCD </w:t>
      </w:r>
      <w:r w:rsidR="00E97F4D">
        <w:t>i</w:t>
      </w:r>
      <w:r w:rsidRPr="00970DB9">
        <w:t xml:space="preserve">n addition to other grazing/rangeland sources outlined in </w:t>
      </w:r>
      <w:r w:rsidRPr="00970DB9">
        <w:rPr>
          <w:b/>
        </w:rPr>
        <w:t>Appendix 1-6</w:t>
      </w:r>
      <w:r w:rsidRPr="00970DB9">
        <w:t xml:space="preserve">. </w:t>
      </w:r>
      <w:r w:rsidRPr="00965EA8">
        <w:t xml:space="preserve">Additional information on these updates </w:t>
      </w:r>
      <w:r w:rsidR="009155D4">
        <w:t>are</w:t>
      </w:r>
      <w:r w:rsidRPr="00965EA8">
        <w:t xml:space="preserve"> available in </w:t>
      </w:r>
      <w:r w:rsidRPr="00965EA8">
        <w:rPr>
          <w:b/>
          <w:bCs/>
        </w:rPr>
        <w:t>Appendices 1-5</w:t>
      </w:r>
      <w:r w:rsidRPr="00965EA8">
        <w:t xml:space="preserve"> and </w:t>
      </w:r>
      <w:r w:rsidRPr="00965EA8">
        <w:rPr>
          <w:b/>
          <w:bCs/>
        </w:rPr>
        <w:t>1-6</w:t>
      </w:r>
      <w:r w:rsidRPr="00970DB9">
        <w:t>.</w:t>
      </w:r>
    </w:p>
    <w:p w14:paraId="05340B1F" w14:textId="77777777" w:rsidR="00000002" w:rsidRDefault="00000002" w:rsidP="0077014C">
      <w:pPr>
        <w:spacing w:after="0" w:line="240" w:lineRule="auto"/>
        <w:rPr>
          <w:b/>
          <w:bCs/>
        </w:rPr>
      </w:pPr>
    </w:p>
    <w:p w14:paraId="222ADD02" w14:textId="14CC3760" w:rsidR="00851767" w:rsidRPr="00FB5489" w:rsidRDefault="00851767" w:rsidP="0077014C">
      <w:pPr>
        <w:spacing w:after="0" w:line="240" w:lineRule="auto"/>
      </w:pPr>
      <w:r w:rsidRPr="00FB5489">
        <w:rPr>
          <w:b/>
          <w:bCs/>
        </w:rPr>
        <w:t xml:space="preserve">Chapter 2 </w:t>
      </w:r>
      <w:r w:rsidRPr="00FB5489">
        <w:t xml:space="preserve">of this BE includes </w:t>
      </w:r>
      <w:r w:rsidR="00EC51A4">
        <w:t>carbaryl</w:t>
      </w:r>
      <w:r w:rsidRPr="00FB5489">
        <w:t xml:space="preserve">’s toxicity endpoints and </w:t>
      </w:r>
      <w:r w:rsidRPr="00FB5489">
        <w:rPr>
          <w:b/>
          <w:bCs/>
        </w:rPr>
        <w:t>Chapter 3</w:t>
      </w:r>
      <w:r w:rsidRPr="00FB5489">
        <w:t xml:space="preserve"> includes the exposure analysis. These toxicity endpoints and exposure estimates are used in Steps 1 and 2.</w:t>
      </w:r>
      <w:r w:rsidRPr="00FB5489">
        <w:rPr>
          <w:b/>
          <w:bCs/>
        </w:rPr>
        <w:t xml:space="preserve"> Chapter 2</w:t>
      </w:r>
      <w:r w:rsidRPr="00FB5489">
        <w:t xml:space="preserve"> also summarizes incident reports that are associated with applications of </w:t>
      </w:r>
      <w:r w:rsidR="00EC51A4">
        <w:t>carbaryl</w:t>
      </w:r>
      <w:r w:rsidRPr="00FB5489">
        <w:t xml:space="preserve"> (incident reports associated with illegal uses or misuses are not included in the assessment). </w:t>
      </w:r>
      <w:r w:rsidRPr="00FB5489">
        <w:rPr>
          <w:b/>
          <w:bCs/>
        </w:rPr>
        <w:t>Chapter 3</w:t>
      </w:r>
      <w:r w:rsidRPr="00FB5489">
        <w:t xml:space="preserve"> summarizes available monitoring data. </w:t>
      </w:r>
      <w:r w:rsidRPr="00FB5489">
        <w:rPr>
          <w:b/>
          <w:bCs/>
        </w:rPr>
        <w:t>Chapter 4</w:t>
      </w:r>
      <w:r w:rsidRPr="00FB5489">
        <w:t xml:space="preserve"> includes the species and critical habitat-specific determinations for </w:t>
      </w:r>
      <w:r w:rsidR="00EC51A4">
        <w:t>carbaryl</w:t>
      </w:r>
      <w:r w:rsidRPr="00FB5489">
        <w:t>. For exposure in terrestrial habitats, the MAGtool</w:t>
      </w:r>
      <w:r w:rsidRPr="00D50CA8">
        <w:rPr>
          <w:vertAlign w:val="superscript"/>
        </w:rPr>
        <w:footnoteReference w:id="11"/>
      </w:r>
      <w:r w:rsidRPr="00FB5489">
        <w:t xml:space="preserve"> (version 2.</w:t>
      </w:r>
      <w:r w:rsidR="00003E8C">
        <w:t>3</w:t>
      </w:r>
      <w:r w:rsidRPr="00FB5489">
        <w:t xml:space="preserve">) is used (additional details in </w:t>
      </w:r>
      <w:r w:rsidRPr="00FB5489">
        <w:rPr>
          <w:b/>
          <w:bCs/>
        </w:rPr>
        <w:t xml:space="preserve">ATTACHMENT 1-1 </w:t>
      </w:r>
      <w:r w:rsidRPr="00FB5489">
        <w:t>and tool documentation). For aquatic habitats, exposure is estimated using the Pesticide in Water Calculator (PWC; version 1.52</w:t>
      </w:r>
      <w:r w:rsidRPr="00FB5489">
        <w:footnoteReference w:id="12"/>
      </w:r>
      <w:r w:rsidRPr="00FB5489">
        <w:t>) and, where appropriate, the Pesticide in Flooded Applications Model (PFAM, version 2</w:t>
      </w:r>
      <w:r w:rsidRPr="00FB5489">
        <w:footnoteReference w:id="13"/>
      </w:r>
      <w:r w:rsidRPr="00FB5489">
        <w:t xml:space="preserve">). Aquatic scenarios (referred to as “bins”) used to estimate exposures for each listed species with aquatic habitats are provided in </w:t>
      </w:r>
      <w:r w:rsidRPr="00FB5489">
        <w:rPr>
          <w:b/>
          <w:bCs/>
        </w:rPr>
        <w:t>ATTACHMENT 1-2</w:t>
      </w:r>
      <w:r w:rsidRPr="00FB5489">
        <w:t xml:space="preserve">. For plants, exposure is estimated using PAT. The MAGtool is used to integrate exposure, effects, and listed species life history information in order to make NE, NLAA and LAA determinations. </w:t>
      </w:r>
    </w:p>
    <w:p w14:paraId="2F3DB921" w14:textId="77777777" w:rsidR="0077014C" w:rsidRPr="00FB5489" w:rsidRDefault="0077014C" w:rsidP="009155D4">
      <w:pPr>
        <w:spacing w:after="0" w:line="240" w:lineRule="auto"/>
      </w:pPr>
    </w:p>
    <w:p w14:paraId="372FCBD4" w14:textId="520888AF" w:rsidR="00747BA3" w:rsidRPr="00C75693" w:rsidRDefault="00747BA3" w:rsidP="00E67A3E">
      <w:pPr>
        <w:pStyle w:val="TOCHeading"/>
        <w:rPr>
          <w:color w:val="4472C4"/>
        </w:rPr>
      </w:pPr>
      <w:bookmarkStart w:id="26" w:name="_Toc66888756"/>
      <w:r w:rsidRPr="00C75693">
        <w:rPr>
          <w:color w:val="4472C4"/>
        </w:rPr>
        <w:t>Literature Cited</w:t>
      </w:r>
      <w:bookmarkEnd w:id="26"/>
    </w:p>
    <w:p w14:paraId="4D3FB88E" w14:textId="77777777" w:rsidR="00D33A74" w:rsidRDefault="00D33A74" w:rsidP="00567F3F">
      <w:pPr>
        <w:spacing w:after="0" w:line="240" w:lineRule="auto"/>
      </w:pPr>
    </w:p>
    <w:p w14:paraId="0447675E" w14:textId="4AEB77D3" w:rsidR="003E0BE8" w:rsidRPr="003E0BE8" w:rsidRDefault="00D33A74" w:rsidP="003E0BE8">
      <w:pPr>
        <w:pStyle w:val="EndNoteBibliography"/>
        <w:spacing w:after="0"/>
        <w:ind w:left="720" w:hanging="720"/>
      </w:pPr>
      <w:r>
        <w:fldChar w:fldCharType="begin"/>
      </w:r>
      <w:r>
        <w:instrText xml:space="preserve"> ADDIN EN.REFLIST </w:instrText>
      </w:r>
      <w:r>
        <w:fldChar w:fldCharType="separate"/>
      </w:r>
      <w:r w:rsidR="003E0BE8" w:rsidRPr="003E0BE8">
        <w:t xml:space="preserve">USEPA. 2010. </w:t>
      </w:r>
      <w:r w:rsidR="003E0BE8" w:rsidRPr="003E0BE8">
        <w:rPr>
          <w:i/>
        </w:rPr>
        <w:t>Guidance for Reporting on the Environmental Fate and Transport of the Stressors of Concern in the Problem Formulation for Registration Review, Registration Review Risk Assessments, Listed Species Litigation Assessments, New Chemical Risk Assessments, and Other Relevant Risk Assessments</w:t>
      </w:r>
      <w:r w:rsidR="003E0BE8" w:rsidRPr="003E0BE8">
        <w:t xml:space="preserve">. January 25, 2010. Environmental Fate and Effects Division.  Office of Chemical Safety and Pollution Prevention.  U.S. Environmental Protection Agency. Available at </w:t>
      </w:r>
      <w:hyperlink r:id="rId12" w:history="1">
        <w:r w:rsidR="003E0BE8" w:rsidRPr="003E0BE8">
          <w:rPr>
            <w:rStyle w:val="Hyperlink"/>
          </w:rPr>
          <w:t>https://www.epa.gov/pesticide-science-and-assessing-pesticide-risks/guidance-reporting-environmental-fate-and-transport</w:t>
        </w:r>
      </w:hyperlink>
      <w:r w:rsidR="003E0BE8" w:rsidRPr="003E0BE8">
        <w:t>.</w:t>
      </w:r>
    </w:p>
    <w:p w14:paraId="102E084F" w14:textId="572E58A0" w:rsidR="003E0BE8" w:rsidRPr="003E0BE8" w:rsidRDefault="003E0BE8" w:rsidP="003E0BE8">
      <w:pPr>
        <w:pStyle w:val="EndNoteBibliography"/>
        <w:ind w:left="720" w:hanging="720"/>
      </w:pPr>
      <w:r w:rsidRPr="003E0BE8">
        <w:t xml:space="preserve">USEPA. 2010. </w:t>
      </w:r>
      <w:r w:rsidRPr="003E0BE8">
        <w:rPr>
          <w:i/>
        </w:rPr>
        <w:t>Registration Review - Preliminary Problem Formulatoin for Ecological Risk and Environmental Fate, Endangered Species, and Drinking Water Assessments for Carbaryl (PC Code 056801; DP barcode D374937)</w:t>
      </w:r>
      <w:r w:rsidRPr="003E0BE8">
        <w:t xml:space="preserve">. September 3, 2010. Environmental Fate and Effects Division. Office of Pesticide Programs. U.S. Environmental Protection Agency. Available at </w:t>
      </w:r>
      <w:hyperlink r:id="rId13" w:history="1">
        <w:r w:rsidRPr="003E0BE8">
          <w:rPr>
            <w:rStyle w:val="Hyperlink"/>
          </w:rPr>
          <w:t>https://www.regulations.gov/document?D=EPA-HQ-OPP-2010-0230-0004</w:t>
        </w:r>
      </w:hyperlink>
      <w:r w:rsidRPr="003E0BE8">
        <w:t>.</w:t>
      </w:r>
    </w:p>
    <w:p w14:paraId="0CE34095" w14:textId="077DC8D9" w:rsidR="00610075" w:rsidRPr="00567F3F" w:rsidRDefault="00D33A74" w:rsidP="00567F3F">
      <w:pPr>
        <w:spacing w:after="0" w:line="240" w:lineRule="auto"/>
      </w:pPr>
      <w:r>
        <w:fldChar w:fldCharType="end"/>
      </w:r>
    </w:p>
    <w:sectPr w:rsidR="00610075" w:rsidRPr="00567F3F" w:rsidSect="00851E0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BCBDA" w14:textId="77777777" w:rsidR="0005567F" w:rsidRDefault="0005567F">
      <w:pPr>
        <w:spacing w:after="0" w:line="240" w:lineRule="auto"/>
      </w:pPr>
      <w:r>
        <w:separator/>
      </w:r>
    </w:p>
  </w:endnote>
  <w:endnote w:type="continuationSeparator" w:id="0">
    <w:p w14:paraId="49566EDE" w14:textId="77777777" w:rsidR="0005567F" w:rsidRDefault="0005567F">
      <w:pPr>
        <w:spacing w:after="0" w:line="240" w:lineRule="auto"/>
      </w:pPr>
      <w:r>
        <w:continuationSeparator/>
      </w:r>
    </w:p>
  </w:endnote>
  <w:endnote w:type="continuationNotice" w:id="1">
    <w:p w14:paraId="494172C3" w14:textId="77777777" w:rsidR="0005567F" w:rsidRDefault="000556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2318D" w14:textId="77777777" w:rsidR="00452BB9" w:rsidRDefault="00452B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0FF48" w14:textId="3D810AB2" w:rsidR="008C43B4" w:rsidRDefault="008C43B4">
    <w:pPr>
      <w:pStyle w:val="Footer"/>
      <w:jc w:val="center"/>
    </w:pPr>
    <w:r>
      <w:t>1-</w:t>
    </w:r>
    <w:sdt>
      <w:sdtPr>
        <w:id w:val="1733140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C5F7D8A" w14:textId="77777777" w:rsidR="00000BBE" w:rsidRDefault="00000BB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602AE" w14:textId="77777777" w:rsidR="00452BB9" w:rsidRDefault="00452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F874B" w14:textId="77777777" w:rsidR="0005567F" w:rsidRDefault="0005567F">
      <w:pPr>
        <w:spacing w:after="0" w:line="240" w:lineRule="auto"/>
      </w:pPr>
      <w:r>
        <w:separator/>
      </w:r>
    </w:p>
  </w:footnote>
  <w:footnote w:type="continuationSeparator" w:id="0">
    <w:p w14:paraId="3B21FD4D" w14:textId="77777777" w:rsidR="0005567F" w:rsidRDefault="0005567F">
      <w:pPr>
        <w:spacing w:after="0" w:line="240" w:lineRule="auto"/>
      </w:pPr>
      <w:r>
        <w:continuationSeparator/>
      </w:r>
    </w:p>
  </w:footnote>
  <w:footnote w:type="continuationNotice" w:id="1">
    <w:p w14:paraId="59526352" w14:textId="77777777" w:rsidR="0005567F" w:rsidRDefault="0005567F">
      <w:pPr>
        <w:spacing w:after="0" w:line="240" w:lineRule="auto"/>
      </w:pPr>
    </w:p>
  </w:footnote>
  <w:footnote w:id="2">
    <w:p w14:paraId="0A6D8101" w14:textId="22EA10C4" w:rsidR="00000BBE" w:rsidRDefault="00000BBE" w:rsidP="00782A6C">
      <w:pPr>
        <w:pStyle w:val="FootnoteText"/>
      </w:pPr>
      <w:r>
        <w:rPr>
          <w:rStyle w:val="FootnoteReference"/>
        </w:rPr>
        <w:footnoteRef/>
      </w:r>
      <w:r>
        <w:t xml:space="preserve"> </w:t>
      </w:r>
      <w:r w:rsidR="00EC12DE">
        <w:rPr>
          <w:rFonts w:ascii="Segoe UI" w:hAnsi="Segoe UI" w:cs="Segoe UI"/>
          <w:sz w:val="18"/>
          <w:szCs w:val="18"/>
        </w:rPr>
        <w:t xml:space="preserve">USEPA. 2020. </w:t>
      </w:r>
      <w:r w:rsidR="00EC12DE">
        <w:rPr>
          <w:rFonts w:ascii="Segoe UI" w:hAnsi="Segoe UI" w:cs="Segoe UI"/>
          <w:i/>
          <w:iCs/>
          <w:sz w:val="18"/>
          <w:szCs w:val="18"/>
        </w:rPr>
        <w:t>Revised Method for National Level Listed Species Biological Evaluations of Conventional Pesticides</w:t>
      </w:r>
      <w:r w:rsidR="00EC12DE">
        <w:rPr>
          <w:rFonts w:ascii="Segoe UI" w:hAnsi="Segoe UI" w:cs="Segoe UI"/>
          <w:sz w:val="18"/>
          <w:szCs w:val="18"/>
        </w:rPr>
        <w:t xml:space="preserve">. March 12, 2020. Environmental Fate and Effects Division. Office of Pesticide Programs. U.S. Environmental Protection Agency. Available at </w:t>
      </w:r>
      <w:hyperlink r:id="rId1" w:history="1">
        <w:r w:rsidR="000D0582" w:rsidRPr="006E75BC">
          <w:rPr>
            <w:rStyle w:val="Hyperlink"/>
            <w:rFonts w:ascii="Segoe UI" w:hAnsi="Segoe UI" w:cs="Segoe UI"/>
            <w:sz w:val="18"/>
            <w:szCs w:val="18"/>
          </w:rPr>
          <w:t>https://www.epa.gov/endangered-species/revised-method-national-level-listed-species-biological-evaluations-conventiona</w:t>
        </w:r>
        <w:r w:rsidR="001E1187" w:rsidRPr="006E75BC">
          <w:rPr>
            <w:rStyle w:val="Hyperlink"/>
            <w:rFonts w:ascii="Segoe UI" w:hAnsi="Segoe UI" w:cs="Segoe UI"/>
            <w:sz w:val="18"/>
            <w:szCs w:val="18"/>
          </w:rPr>
          <w:t>l</w:t>
        </w:r>
      </w:hyperlink>
      <w:r w:rsidR="00EC12DE">
        <w:rPr>
          <w:rFonts w:ascii="Segoe UI" w:hAnsi="Segoe UI" w:cs="Segoe UI"/>
          <w:sz w:val="18"/>
          <w:szCs w:val="18"/>
        </w:rPr>
        <w:t>.</w:t>
      </w:r>
    </w:p>
  </w:footnote>
  <w:footnote w:id="3">
    <w:p w14:paraId="4D79D772" w14:textId="77777777" w:rsidR="00000BBE" w:rsidRDefault="00000BBE" w:rsidP="0052205D">
      <w:pPr>
        <w:pStyle w:val="FootnoteText"/>
      </w:pPr>
      <w:r>
        <w:rPr>
          <w:rStyle w:val="FootnoteReference"/>
        </w:rPr>
        <w:footnoteRef/>
      </w:r>
      <w:r>
        <w:t xml:space="preserve"> </w:t>
      </w:r>
      <w:r>
        <w:rPr>
          <w:rFonts w:asciiTheme="minorHAnsi" w:hAnsiTheme="minorHAnsi" w:cstheme="minorHAnsi"/>
        </w:rPr>
        <w:t>Carbaryl</w:t>
      </w:r>
      <w:r w:rsidRPr="00354AFC">
        <w:rPr>
          <w:rFonts w:asciiTheme="minorHAnsi" w:hAnsiTheme="minorHAnsi" w:cstheme="minorHAnsi"/>
        </w:rPr>
        <w:t xml:space="preserve"> Registration Review Docket Folder. </w:t>
      </w:r>
      <w:hyperlink r:id="rId2" w:history="1">
        <w:r>
          <w:rPr>
            <w:rStyle w:val="Hyperlink"/>
          </w:rPr>
          <w:t>https://www.regulations.gov/docket?D=EPA-HQ-OPP-2010-0230</w:t>
        </w:r>
      </w:hyperlink>
    </w:p>
  </w:footnote>
  <w:footnote w:id="4">
    <w:p w14:paraId="762C5CE9" w14:textId="721BBBA1" w:rsidR="00000BBE" w:rsidRDefault="00000BBE">
      <w:pPr>
        <w:pStyle w:val="FootnoteText"/>
      </w:pPr>
      <w:r>
        <w:rPr>
          <w:rStyle w:val="FootnoteReference"/>
        </w:rPr>
        <w:footnoteRef/>
      </w:r>
      <w:r>
        <w:t xml:space="preserve"> EPA registration number TX020007 allows for use of carbaryl to control mud and ghost shrimp in commercial shrimp ponds.  The label requires that water in the treated ponds must be held for two weeks post-application to allow carbaryl degradation</w:t>
      </w:r>
      <w:r w:rsidR="00294274">
        <w:t>,</w:t>
      </w:r>
      <w:r>
        <w:t xml:space="preserve"> and the pond must then be drained and dried before restocking. EPA, therefore, assumed minimal exposure for this use pattern as the </w:t>
      </w:r>
      <w:r w:rsidR="001E5690">
        <w:t xml:space="preserve">representative model input </w:t>
      </w:r>
      <w:r>
        <w:t xml:space="preserve">aerobic aquatic metabolism half-life </w:t>
      </w:r>
      <w:r w:rsidR="000D2AD8">
        <w:t xml:space="preserve">values range from </w:t>
      </w:r>
      <w:r w:rsidR="001E5690">
        <w:t>2.0 to 18.2 days</w:t>
      </w:r>
      <w:r>
        <w:t xml:space="preserve"> and carbaryl is expected to degrade before the water is drained; however, some uncertainty with this assumption as degradation may be pH dependent.</w:t>
      </w:r>
    </w:p>
  </w:footnote>
  <w:footnote w:id="5">
    <w:p w14:paraId="37287B01" w14:textId="1B5F60E1" w:rsidR="00000BBE" w:rsidRDefault="00000BBE">
      <w:pPr>
        <w:pStyle w:val="FootnoteText"/>
      </w:pPr>
      <w:r>
        <w:rPr>
          <w:rStyle w:val="FootnoteReference"/>
        </w:rPr>
        <w:footnoteRef/>
      </w:r>
      <w:r>
        <w:t xml:space="preserve"> The FAO mobility classification system is recommended for use in exposure assessments in the Office of Pesticide Programs in “</w:t>
      </w:r>
      <w:r w:rsidRPr="00427DEC">
        <w:rPr>
          <w:rFonts w:ascii="Segoe UI" w:hAnsi="Segoe UI" w:cs="Segoe UI"/>
          <w:i/>
          <w:sz w:val="18"/>
          <w:szCs w:val="18"/>
        </w:rPr>
        <w:t>Guidance for Reporting on the Environmental Fate and Transport of the Stressors of Concern in the Problem Formulation for Registration Review, Registration Review Risk Assessments, Listed Species Litigation Assessments, New Chemical Risk Assessments, and Other Relevant Risk Assessments</w:t>
      </w:r>
      <w:r>
        <w:rPr>
          <w:rFonts w:ascii="Segoe UI" w:hAnsi="Segoe UI" w:cs="Segoe UI"/>
          <w:sz w:val="18"/>
          <w:szCs w:val="18"/>
        </w:rPr>
        <w:t xml:space="preserve">” </w:t>
      </w:r>
      <w:r>
        <w:rPr>
          <w:rFonts w:ascii="Segoe UI" w:hAnsi="Segoe UI" w:cs="Segoe UI"/>
          <w:sz w:val="18"/>
          <w:szCs w:val="18"/>
        </w:rPr>
        <w:fldChar w:fldCharType="begin"/>
      </w:r>
      <w:r>
        <w:rPr>
          <w:rFonts w:ascii="Segoe UI" w:hAnsi="Segoe UI" w:cs="Segoe UI"/>
          <w:sz w:val="18"/>
          <w:szCs w:val="18"/>
        </w:rPr>
        <w:instrText xml:space="preserve"> ADDIN EN.CITE &lt;EndNote&gt;&lt;Cite&gt;&lt;Author&gt;USEPA&lt;/Author&gt;&lt;Year&gt;2010&lt;/Year&gt;&lt;RecNum&gt;591&lt;/RecNum&gt;&lt;DisplayText&gt;(USEPA, 2010)&lt;/DisplayText&gt;&lt;record&gt;&lt;rec-number&gt;591&lt;/rec-number&gt;&lt;foreign-keys&gt;&lt;key app="EN" db-id="s0xer2w2o0xwx3e0a0tx0sz3zradttw529er" timestamp="1322490410"&gt;591&lt;/key&gt;&lt;/foreign-keys&gt;&lt;ref-type name="EPA Document"&gt;51&lt;/ref-type&gt;&lt;contributors&gt;&lt;authors&gt;&lt;author&gt;USEPA, &lt;/author&gt;&lt;/authors&gt;&lt;/contributors&gt;&lt;titles&gt;&lt;title&gt;Guidance for Reporting on the Environmental Fate and Transport of the Stressors of Concern in the Problem Formulation for Registration Review, Registration Review Risk Assessments, Listed Species Litigation Assessments, New Chemical Risk Assessments, and Other Relevant Risk Assessments&lt;/title&gt;&lt;secondary-title&gt;January 25, 2010&lt;/secondary-title&gt;&lt;tertiary-title&gt;Environmental Fate and Effects Division.  Office of Chemical Safety and Pollution Prevention.  U.S. Environmental Protection Agency&lt;/tertiary-title&gt;&lt;/titles&gt;&lt;dates&gt;&lt;year&gt;2010&lt;/year&gt;&lt;/dates&gt;&lt;urls&gt;&lt;related-urls&gt;&lt;url&gt;https://www.epa.gov/pesticide-science-and-assessing-pesticide-risks/guidance-reporting-environmental-fate-and-transport&lt;/url&gt;&lt;/related-urls&gt;&lt;/urls&gt;&lt;/record&gt;&lt;/Cite&gt;&lt;/EndNote&gt;</w:instrText>
      </w:r>
      <w:r>
        <w:rPr>
          <w:rFonts w:ascii="Segoe UI" w:hAnsi="Segoe UI" w:cs="Segoe UI"/>
          <w:sz w:val="18"/>
          <w:szCs w:val="18"/>
        </w:rPr>
        <w:fldChar w:fldCharType="separate"/>
      </w:r>
      <w:r>
        <w:rPr>
          <w:rFonts w:ascii="Segoe UI" w:hAnsi="Segoe UI" w:cs="Segoe UI"/>
          <w:noProof/>
          <w:sz w:val="18"/>
          <w:szCs w:val="18"/>
        </w:rPr>
        <w:t>(USEPA, 2010)</w:t>
      </w:r>
      <w:r>
        <w:rPr>
          <w:rFonts w:ascii="Segoe UI" w:hAnsi="Segoe UI" w:cs="Segoe UI"/>
          <w:sz w:val="18"/>
          <w:szCs w:val="18"/>
        </w:rPr>
        <w:fldChar w:fldCharType="end"/>
      </w:r>
      <w:r>
        <w:rPr>
          <w:rFonts w:ascii="Segoe UI" w:hAnsi="Segoe UI" w:cs="Segoe UI"/>
          <w:sz w:val="18"/>
          <w:szCs w:val="18"/>
        </w:rPr>
        <w:t>.</w:t>
      </w:r>
    </w:p>
  </w:footnote>
  <w:footnote w:id="6">
    <w:p w14:paraId="5DBA4684" w14:textId="7912F3D4" w:rsidR="00851767" w:rsidRPr="00283D91" w:rsidRDefault="00851767" w:rsidP="00851767">
      <w:pPr>
        <w:pStyle w:val="FootnoteText"/>
      </w:pPr>
      <w:r w:rsidRPr="00283D91">
        <w:rPr>
          <w:rStyle w:val="FootnoteReference"/>
        </w:rPr>
        <w:footnoteRef/>
      </w:r>
      <w:r w:rsidRPr="00283D91">
        <w:t xml:space="preserve"> USDA National Agricultural Statistics Service Cropland Data Layer. 2013-2017. Published crop-specific data layer [Online]. Available at </w:t>
      </w:r>
      <w:hyperlink r:id="rId3" w:history="1">
        <w:r w:rsidRPr="00283D91">
          <w:rPr>
            <w:rStyle w:val="Hyperlink"/>
          </w:rPr>
          <w:t>https://www.nass.usda.gov/Research_and_Science/Cropland/SARS1a.php</w:t>
        </w:r>
      </w:hyperlink>
      <w:r w:rsidRPr="00283D91">
        <w:t xml:space="preserve"> (accessed 3/2018; verified </w:t>
      </w:r>
      <w:r w:rsidR="00984007" w:rsidRPr="00283D91">
        <w:rPr>
          <w:rStyle w:val="Hyperlink"/>
          <w:color w:val="000000" w:themeColor="text1"/>
          <w:u w:val="none"/>
        </w:rPr>
        <w:t>02/2021</w:t>
      </w:r>
      <w:r w:rsidRPr="00283D91">
        <w:t>). USDA-NASS, Washington, DC.</w:t>
      </w:r>
    </w:p>
  </w:footnote>
  <w:footnote w:id="7">
    <w:p w14:paraId="4E3016AF" w14:textId="79194F69" w:rsidR="00851767" w:rsidRPr="00283D91" w:rsidRDefault="00851767" w:rsidP="00851767">
      <w:pPr>
        <w:pStyle w:val="FootnoteText"/>
      </w:pPr>
      <w:r w:rsidRPr="00283D91">
        <w:rPr>
          <w:rStyle w:val="FootnoteReference"/>
        </w:rPr>
        <w:footnoteRef/>
      </w:r>
      <w:r w:rsidRPr="00283D91">
        <w:t xml:space="preserve"> Categories include: corn, cotton, rice, soybeans, wheat, vegetables and ground fruit, other grains, other row crops, other crops, pasture/hay, citrus, vineyards and other orchards.</w:t>
      </w:r>
    </w:p>
  </w:footnote>
  <w:footnote w:id="8">
    <w:p w14:paraId="25E32486" w14:textId="6CAA6641" w:rsidR="00851767" w:rsidRPr="00283D91" w:rsidRDefault="00851767" w:rsidP="00851767">
      <w:pPr>
        <w:pStyle w:val="FootnoteText"/>
      </w:pPr>
      <w:r w:rsidRPr="00283D91">
        <w:rPr>
          <w:rStyle w:val="FootnoteReference"/>
        </w:rPr>
        <w:footnoteRef/>
      </w:r>
      <w:r w:rsidRPr="00283D91">
        <w:t xml:space="preserve"> where NL is “non-lower” and 48 refers to the number of states in ConUS</w:t>
      </w:r>
    </w:p>
  </w:footnote>
  <w:footnote w:id="9">
    <w:p w14:paraId="15FCE034" w14:textId="07C0AEDA" w:rsidR="00851767" w:rsidRPr="00283D91" w:rsidRDefault="00851767" w:rsidP="00851767">
      <w:pPr>
        <w:pStyle w:val="FootnoteText"/>
      </w:pPr>
      <w:r w:rsidRPr="00283D91">
        <w:rPr>
          <w:rStyle w:val="FootnoteReference"/>
        </w:rPr>
        <w:footnoteRef/>
      </w:r>
      <w:r w:rsidRPr="00283D91">
        <w:t xml:space="preserve"> Homer, C.G., Dewitz, J.A., Yang, L., Jin, S., Danielson, P., Xian, G., Coulston, J., Herold, N.D., Wickham, J.D., and Megown, K., 2015, Completion of the 2011 National Land Cover Database for the conterminous United States-Representing a decade of land cover change information. Photogrammetric Engineering and Remote Sensing, v. 81, no. 5, p. 345-354</w:t>
      </w:r>
    </w:p>
  </w:footnote>
  <w:footnote w:id="10">
    <w:p w14:paraId="2131F539" w14:textId="345E1293" w:rsidR="00851767" w:rsidRPr="00283D91" w:rsidRDefault="00851767" w:rsidP="00851767">
      <w:pPr>
        <w:spacing w:after="0" w:line="252" w:lineRule="auto"/>
        <w:rPr>
          <w:rFonts w:eastAsia="Times New Roman"/>
          <w:sz w:val="20"/>
          <w:szCs w:val="20"/>
        </w:rPr>
      </w:pPr>
      <w:r w:rsidRPr="00283D91">
        <w:rPr>
          <w:rStyle w:val="FootnoteReference"/>
          <w:sz w:val="20"/>
          <w:szCs w:val="20"/>
        </w:rPr>
        <w:footnoteRef/>
      </w:r>
      <w:r w:rsidRPr="00283D91">
        <w:rPr>
          <w:sz w:val="20"/>
          <w:szCs w:val="20"/>
        </w:rPr>
        <w:t xml:space="preserve"> </w:t>
      </w:r>
      <w:r w:rsidRPr="00283D91">
        <w:rPr>
          <w:rFonts w:eastAsia="Times New Roman"/>
          <w:sz w:val="20"/>
          <w:szCs w:val="20"/>
        </w:rPr>
        <w:t xml:space="preserve">National Oceanic and Atmospheric Administration, Coastal Services Center. 1995-present. The Coastal Change Analysis Program (C-CAP) Regional Land Cover. Charleston, SC: NOAA Coastal Services Center. Accessed at </w:t>
      </w:r>
      <w:hyperlink r:id="rId4" w:history="1">
        <w:r w:rsidRPr="00283D91">
          <w:rPr>
            <w:rStyle w:val="Hyperlink"/>
            <w:sz w:val="20"/>
            <w:szCs w:val="20"/>
          </w:rPr>
          <w:t>https://coast.noaa.gov/digitalcoast/data/ccapregional.html</w:t>
        </w:r>
      </w:hyperlink>
      <w:r w:rsidRPr="00283D91">
        <w:rPr>
          <w:sz w:val="20"/>
          <w:szCs w:val="20"/>
        </w:rPr>
        <w:t xml:space="preserve"> (accessed </w:t>
      </w:r>
      <w:r w:rsidR="00984007" w:rsidRPr="00283D91">
        <w:rPr>
          <w:rStyle w:val="Hyperlink"/>
          <w:color w:val="000000" w:themeColor="text1"/>
          <w:sz w:val="20"/>
          <w:szCs w:val="20"/>
          <w:u w:val="none"/>
        </w:rPr>
        <w:t>02/2021</w:t>
      </w:r>
      <w:r w:rsidRPr="00283D91">
        <w:rPr>
          <w:sz w:val="20"/>
          <w:szCs w:val="20"/>
        </w:rPr>
        <w:t>)</w:t>
      </w:r>
      <w:r w:rsidRPr="00283D91">
        <w:rPr>
          <w:rFonts w:eastAsia="Times New Roman"/>
          <w:sz w:val="20"/>
          <w:szCs w:val="20"/>
        </w:rPr>
        <w:t>.</w:t>
      </w:r>
    </w:p>
    <w:p w14:paraId="14994661" w14:textId="77777777" w:rsidR="00851767" w:rsidRDefault="00851767" w:rsidP="00851767">
      <w:pPr>
        <w:pStyle w:val="FootnoteText"/>
      </w:pPr>
    </w:p>
  </w:footnote>
  <w:footnote w:id="11">
    <w:p w14:paraId="572DB354" w14:textId="22A182F5" w:rsidR="00851767" w:rsidRPr="000A4575" w:rsidRDefault="00851767" w:rsidP="00851767">
      <w:pPr>
        <w:pStyle w:val="FootnoteText"/>
      </w:pPr>
      <w:r w:rsidRPr="00E65520">
        <w:rPr>
          <w:rStyle w:val="FootnoteReference"/>
        </w:rPr>
        <w:footnoteRef/>
      </w:r>
      <w:r w:rsidRPr="00E65520">
        <w:t xml:space="preserve"> </w:t>
      </w:r>
      <w:r w:rsidRPr="00DE3C95">
        <w:t>Information on the models and too</w:t>
      </w:r>
      <w:r w:rsidRPr="000A4575">
        <w:t xml:space="preserve">ls used to support </w:t>
      </w:r>
      <w:r w:rsidRPr="0061215F">
        <w:t>th</w:t>
      </w:r>
      <w:r w:rsidRPr="00E65520">
        <w:t xml:space="preserve">is biological evaluation are available at: </w:t>
      </w:r>
      <w:hyperlink r:id="rId5" w:history="1">
        <w:r w:rsidRPr="00DE3C95">
          <w:rPr>
            <w:rStyle w:val="Hyperlink"/>
          </w:rPr>
          <w:t>https://www.epa.gov/endangered-species/models-and-tools-endangered-species-pesticide-assessments</w:t>
        </w:r>
      </w:hyperlink>
      <w:r w:rsidRPr="00E65520">
        <w:t xml:space="preserve"> (</w:t>
      </w:r>
      <w:r w:rsidRPr="00372E3F">
        <w:t xml:space="preserve">Accessed </w:t>
      </w:r>
      <w:r w:rsidR="00984007" w:rsidRPr="00E97F4D">
        <w:rPr>
          <w:rStyle w:val="Hyperlink"/>
          <w:color w:val="000000" w:themeColor="text1"/>
          <w:u w:val="none"/>
        </w:rPr>
        <w:t>02/2021</w:t>
      </w:r>
      <w:r w:rsidRPr="00DE3C95">
        <w:t>).</w:t>
      </w:r>
    </w:p>
  </w:footnote>
  <w:footnote w:id="12">
    <w:p w14:paraId="0F459148" w14:textId="2D737A29" w:rsidR="00851767" w:rsidRDefault="00851767" w:rsidP="00851767">
      <w:pPr>
        <w:pStyle w:val="FootnoteText"/>
      </w:pPr>
      <w:r w:rsidRPr="00E65520">
        <w:rPr>
          <w:rStyle w:val="FootnoteReference"/>
        </w:rPr>
        <w:footnoteRef/>
      </w:r>
      <w:r w:rsidRPr="00E65520">
        <w:t xml:space="preserve"> Available online at: </w:t>
      </w:r>
      <w:hyperlink r:id="rId6" w:history="1">
        <w:r w:rsidRPr="00626DEF">
          <w:rPr>
            <w:rStyle w:val="Hyperlink"/>
          </w:rPr>
          <w:t>https://www.epa.gov/pesticide-science-and-assessing-pesticide-risks/models-pesticide-risk-assessment#aquatic</w:t>
        </w:r>
      </w:hyperlink>
      <w:r w:rsidRPr="00E63DA9">
        <w:rPr>
          <w:rStyle w:val="Hyperlink"/>
          <w:color w:val="000000" w:themeColor="text1"/>
        </w:rPr>
        <w:t xml:space="preserve"> </w:t>
      </w:r>
      <w:r w:rsidRPr="00626DEF">
        <w:rPr>
          <w:rStyle w:val="Hyperlink"/>
          <w:color w:val="000000" w:themeColor="text1"/>
        </w:rPr>
        <w:t>(</w:t>
      </w:r>
      <w:r w:rsidRPr="00E97F4D">
        <w:rPr>
          <w:rStyle w:val="Hyperlink"/>
          <w:color w:val="000000" w:themeColor="text1"/>
          <w:u w:val="none"/>
        </w:rPr>
        <w:t xml:space="preserve">Accessed </w:t>
      </w:r>
      <w:r w:rsidR="00984007" w:rsidRPr="00E97F4D">
        <w:rPr>
          <w:rStyle w:val="Hyperlink"/>
          <w:color w:val="000000" w:themeColor="text1"/>
          <w:u w:val="none"/>
        </w:rPr>
        <w:t>02/2021</w:t>
      </w:r>
      <w:r w:rsidRPr="00E97F4D">
        <w:rPr>
          <w:rStyle w:val="Hyperlink"/>
          <w:color w:val="000000" w:themeColor="text1"/>
          <w:u w:val="none"/>
        </w:rPr>
        <w:t>).</w:t>
      </w:r>
    </w:p>
  </w:footnote>
  <w:footnote w:id="13">
    <w:p w14:paraId="7AE342FB" w14:textId="44505F35" w:rsidR="00851767" w:rsidRDefault="00851767" w:rsidP="00851767">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D0019" w14:textId="77777777" w:rsidR="00452BB9" w:rsidRDefault="00452B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0929A" w14:textId="77777777" w:rsidR="00000BBE" w:rsidRDefault="00000BBE">
    <w:pPr>
      <w:tabs>
        <w:tab w:val="center" w:pos="4680"/>
        <w:tab w:val="right" w:pos="9360"/>
      </w:tabs>
      <w:spacing w:after="0" w:line="240" w:lineRule="auto"/>
    </w:pPr>
  </w:p>
  <w:p w14:paraId="5ABD9EE1" w14:textId="77777777" w:rsidR="00000BBE" w:rsidRDefault="00000BB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A8A7B" w14:textId="77777777" w:rsidR="00452BB9" w:rsidRDefault="00452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0E0EE84"/>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7CC2A730"/>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73AC22EE"/>
    <w:lvl w:ilvl="0" w:tplc="AF3C18EE">
      <w:start w:val="1"/>
      <w:numFmt w:val="decimal"/>
      <w:lvlText w:val="%1."/>
      <w:lvlJc w:val="left"/>
      <w:pPr>
        <w:tabs>
          <w:tab w:val="num" w:pos="1080"/>
        </w:tabs>
        <w:ind w:left="1080" w:hanging="360"/>
      </w:pPr>
    </w:lvl>
    <w:lvl w:ilvl="1" w:tplc="DDD4D254">
      <w:numFmt w:val="decimal"/>
      <w:lvlText w:val=""/>
      <w:lvlJc w:val="left"/>
    </w:lvl>
    <w:lvl w:ilvl="2" w:tplc="6C184FAC">
      <w:numFmt w:val="decimal"/>
      <w:lvlText w:val=""/>
      <w:lvlJc w:val="left"/>
    </w:lvl>
    <w:lvl w:ilvl="3" w:tplc="F86602CC">
      <w:numFmt w:val="decimal"/>
      <w:lvlText w:val=""/>
      <w:lvlJc w:val="left"/>
    </w:lvl>
    <w:lvl w:ilvl="4" w:tplc="B53AFAC4">
      <w:numFmt w:val="decimal"/>
      <w:lvlText w:val=""/>
      <w:lvlJc w:val="left"/>
    </w:lvl>
    <w:lvl w:ilvl="5" w:tplc="DACAF74C">
      <w:numFmt w:val="decimal"/>
      <w:lvlText w:val=""/>
      <w:lvlJc w:val="left"/>
    </w:lvl>
    <w:lvl w:ilvl="6" w:tplc="C1461ABA">
      <w:numFmt w:val="decimal"/>
      <w:lvlText w:val=""/>
      <w:lvlJc w:val="left"/>
    </w:lvl>
    <w:lvl w:ilvl="7" w:tplc="D564E6D0">
      <w:numFmt w:val="decimal"/>
      <w:lvlText w:val=""/>
      <w:lvlJc w:val="left"/>
    </w:lvl>
    <w:lvl w:ilvl="8" w:tplc="48B495C4">
      <w:numFmt w:val="decimal"/>
      <w:lvlText w:val=""/>
      <w:lvlJc w:val="left"/>
    </w:lvl>
  </w:abstractNum>
  <w:abstractNum w:abstractNumId="3" w15:restartNumberingAfterBreak="0">
    <w:nsid w:val="FFFFFF7F"/>
    <w:multiLevelType w:val="multilevel"/>
    <w:tmpl w:val="5B10EBD2"/>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D2A473BC"/>
    <w:lvl w:ilvl="0">
      <w:start w:val="1"/>
      <w:numFmt w:val="bullet"/>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B45017E4"/>
    <w:lvl w:ilvl="0" w:tplc="09C0514A">
      <w:start w:val="1"/>
      <w:numFmt w:val="bullet"/>
      <w:lvlText w:val=""/>
      <w:lvlJc w:val="left"/>
      <w:pPr>
        <w:tabs>
          <w:tab w:val="num" w:pos="1440"/>
        </w:tabs>
        <w:ind w:left="1440" w:hanging="360"/>
      </w:pPr>
      <w:rPr>
        <w:rFonts w:ascii="Symbol" w:hAnsi="Symbol" w:hint="default"/>
      </w:rPr>
    </w:lvl>
    <w:lvl w:ilvl="1" w:tplc="0344C83A">
      <w:numFmt w:val="decimal"/>
      <w:lvlText w:val=""/>
      <w:lvlJc w:val="left"/>
    </w:lvl>
    <w:lvl w:ilvl="2" w:tplc="ED56C51C">
      <w:numFmt w:val="decimal"/>
      <w:lvlText w:val=""/>
      <w:lvlJc w:val="left"/>
    </w:lvl>
    <w:lvl w:ilvl="3" w:tplc="3760BD9C">
      <w:numFmt w:val="decimal"/>
      <w:lvlText w:val=""/>
      <w:lvlJc w:val="left"/>
    </w:lvl>
    <w:lvl w:ilvl="4" w:tplc="C5364AA8">
      <w:numFmt w:val="decimal"/>
      <w:lvlText w:val=""/>
      <w:lvlJc w:val="left"/>
    </w:lvl>
    <w:lvl w:ilvl="5" w:tplc="8CD6725C">
      <w:numFmt w:val="decimal"/>
      <w:lvlText w:val=""/>
      <w:lvlJc w:val="left"/>
    </w:lvl>
    <w:lvl w:ilvl="6" w:tplc="C2A01BCE">
      <w:numFmt w:val="decimal"/>
      <w:lvlText w:val=""/>
      <w:lvlJc w:val="left"/>
    </w:lvl>
    <w:lvl w:ilvl="7" w:tplc="FD58BA30">
      <w:numFmt w:val="decimal"/>
      <w:lvlText w:val=""/>
      <w:lvlJc w:val="left"/>
    </w:lvl>
    <w:lvl w:ilvl="8" w:tplc="5AB08F7A">
      <w:numFmt w:val="decimal"/>
      <w:lvlText w:val=""/>
      <w:lvlJc w:val="left"/>
    </w:lvl>
  </w:abstractNum>
  <w:abstractNum w:abstractNumId="6" w15:restartNumberingAfterBreak="0">
    <w:nsid w:val="FFFFFF82"/>
    <w:multiLevelType w:val="hybridMultilevel"/>
    <w:tmpl w:val="B6DC8902"/>
    <w:lvl w:ilvl="0" w:tplc="8E88A2F4">
      <w:start w:val="1"/>
      <w:numFmt w:val="bullet"/>
      <w:lvlText w:val=""/>
      <w:lvlJc w:val="left"/>
      <w:pPr>
        <w:tabs>
          <w:tab w:val="num" w:pos="1080"/>
        </w:tabs>
        <w:ind w:left="1080" w:hanging="360"/>
      </w:pPr>
      <w:rPr>
        <w:rFonts w:ascii="Symbol" w:hAnsi="Symbol" w:hint="default"/>
      </w:rPr>
    </w:lvl>
    <w:lvl w:ilvl="1" w:tplc="15CCA036">
      <w:numFmt w:val="decimal"/>
      <w:lvlText w:val=""/>
      <w:lvlJc w:val="left"/>
    </w:lvl>
    <w:lvl w:ilvl="2" w:tplc="E3AE2620">
      <w:numFmt w:val="decimal"/>
      <w:lvlText w:val=""/>
      <w:lvlJc w:val="left"/>
    </w:lvl>
    <w:lvl w:ilvl="3" w:tplc="1DEA0E24">
      <w:numFmt w:val="decimal"/>
      <w:lvlText w:val=""/>
      <w:lvlJc w:val="left"/>
    </w:lvl>
    <w:lvl w:ilvl="4" w:tplc="D42E6F2E">
      <w:numFmt w:val="decimal"/>
      <w:lvlText w:val=""/>
      <w:lvlJc w:val="left"/>
    </w:lvl>
    <w:lvl w:ilvl="5" w:tplc="C1E26D40">
      <w:numFmt w:val="decimal"/>
      <w:lvlText w:val=""/>
      <w:lvlJc w:val="left"/>
    </w:lvl>
    <w:lvl w:ilvl="6" w:tplc="CC1AA6B2">
      <w:numFmt w:val="decimal"/>
      <w:lvlText w:val=""/>
      <w:lvlJc w:val="left"/>
    </w:lvl>
    <w:lvl w:ilvl="7" w:tplc="7D70B6A0">
      <w:numFmt w:val="decimal"/>
      <w:lvlText w:val=""/>
      <w:lvlJc w:val="left"/>
    </w:lvl>
    <w:lvl w:ilvl="8" w:tplc="94E8EEA4">
      <w:numFmt w:val="decimal"/>
      <w:lvlText w:val=""/>
      <w:lvlJc w:val="left"/>
    </w:lvl>
  </w:abstractNum>
  <w:abstractNum w:abstractNumId="7" w15:restartNumberingAfterBreak="0">
    <w:nsid w:val="FFFFFF83"/>
    <w:multiLevelType w:val="hybridMultilevel"/>
    <w:tmpl w:val="58D412DA"/>
    <w:lvl w:ilvl="0" w:tplc="52E806A0">
      <w:start w:val="1"/>
      <w:numFmt w:val="bullet"/>
      <w:lvlText w:val=""/>
      <w:lvlJc w:val="left"/>
      <w:pPr>
        <w:tabs>
          <w:tab w:val="num" w:pos="720"/>
        </w:tabs>
        <w:ind w:left="720" w:hanging="360"/>
      </w:pPr>
      <w:rPr>
        <w:rFonts w:ascii="Symbol" w:hAnsi="Symbol" w:hint="default"/>
      </w:rPr>
    </w:lvl>
    <w:lvl w:ilvl="1" w:tplc="80187FA8">
      <w:numFmt w:val="decimal"/>
      <w:lvlText w:val=""/>
      <w:lvlJc w:val="left"/>
    </w:lvl>
    <w:lvl w:ilvl="2" w:tplc="F5542DDC">
      <w:numFmt w:val="decimal"/>
      <w:lvlText w:val=""/>
      <w:lvlJc w:val="left"/>
    </w:lvl>
    <w:lvl w:ilvl="3" w:tplc="C8B8F536">
      <w:numFmt w:val="decimal"/>
      <w:lvlText w:val=""/>
      <w:lvlJc w:val="left"/>
    </w:lvl>
    <w:lvl w:ilvl="4" w:tplc="D46A7344">
      <w:numFmt w:val="decimal"/>
      <w:lvlText w:val=""/>
      <w:lvlJc w:val="left"/>
    </w:lvl>
    <w:lvl w:ilvl="5" w:tplc="50C85888">
      <w:numFmt w:val="decimal"/>
      <w:lvlText w:val=""/>
      <w:lvlJc w:val="left"/>
    </w:lvl>
    <w:lvl w:ilvl="6" w:tplc="BF9A1E00">
      <w:numFmt w:val="decimal"/>
      <w:lvlText w:val=""/>
      <w:lvlJc w:val="left"/>
    </w:lvl>
    <w:lvl w:ilvl="7" w:tplc="4022E3C0">
      <w:numFmt w:val="decimal"/>
      <w:lvlText w:val=""/>
      <w:lvlJc w:val="left"/>
    </w:lvl>
    <w:lvl w:ilvl="8" w:tplc="FB4AF8C6">
      <w:numFmt w:val="decimal"/>
      <w:lvlText w:val=""/>
      <w:lvlJc w:val="left"/>
    </w:lvl>
  </w:abstractNum>
  <w:abstractNum w:abstractNumId="8" w15:restartNumberingAfterBreak="0">
    <w:nsid w:val="FFFFFF88"/>
    <w:multiLevelType w:val="multilevel"/>
    <w:tmpl w:val="4E80F74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073C0CC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1D456F7"/>
    <w:multiLevelType w:val="multilevel"/>
    <w:tmpl w:val="2078E44E"/>
    <w:lvl w:ilvl="0">
      <w:start w:val="1"/>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9B2334"/>
    <w:multiLevelType w:val="hybridMultilevel"/>
    <w:tmpl w:val="4F189A82"/>
    <w:lvl w:ilvl="0" w:tplc="F81ABE70">
      <w:start w:val="1"/>
      <w:numFmt w:val="bullet"/>
      <w:lvlText w:val="–"/>
      <w:lvlJc w:val="left"/>
      <w:pPr>
        <w:tabs>
          <w:tab w:val="num" w:pos="360"/>
        </w:tabs>
        <w:ind w:left="360" w:hanging="360"/>
      </w:pPr>
      <w:rPr>
        <w:rFonts w:ascii="Times New Roman" w:hAnsi="Times New Roman" w:hint="default"/>
      </w:rPr>
    </w:lvl>
    <w:lvl w:ilvl="1" w:tplc="7EA04CBA">
      <w:start w:val="1"/>
      <w:numFmt w:val="bullet"/>
      <w:lvlText w:val="–"/>
      <w:lvlJc w:val="left"/>
      <w:pPr>
        <w:tabs>
          <w:tab w:val="num" w:pos="1080"/>
        </w:tabs>
        <w:ind w:left="1080" w:hanging="360"/>
      </w:pPr>
      <w:rPr>
        <w:rFonts w:ascii="Times New Roman" w:hAnsi="Times New Roman" w:hint="default"/>
      </w:rPr>
    </w:lvl>
    <w:lvl w:ilvl="2" w:tplc="131A1B8E" w:tentative="1">
      <w:start w:val="1"/>
      <w:numFmt w:val="bullet"/>
      <w:lvlText w:val="–"/>
      <w:lvlJc w:val="left"/>
      <w:pPr>
        <w:tabs>
          <w:tab w:val="num" w:pos="1800"/>
        </w:tabs>
        <w:ind w:left="1800" w:hanging="360"/>
      </w:pPr>
      <w:rPr>
        <w:rFonts w:ascii="Times New Roman" w:hAnsi="Times New Roman" w:hint="default"/>
      </w:rPr>
    </w:lvl>
    <w:lvl w:ilvl="3" w:tplc="6C58E466" w:tentative="1">
      <w:start w:val="1"/>
      <w:numFmt w:val="bullet"/>
      <w:lvlText w:val="–"/>
      <w:lvlJc w:val="left"/>
      <w:pPr>
        <w:tabs>
          <w:tab w:val="num" w:pos="2520"/>
        </w:tabs>
        <w:ind w:left="2520" w:hanging="360"/>
      </w:pPr>
      <w:rPr>
        <w:rFonts w:ascii="Times New Roman" w:hAnsi="Times New Roman" w:hint="default"/>
      </w:rPr>
    </w:lvl>
    <w:lvl w:ilvl="4" w:tplc="BD9C9772" w:tentative="1">
      <w:start w:val="1"/>
      <w:numFmt w:val="bullet"/>
      <w:lvlText w:val="–"/>
      <w:lvlJc w:val="left"/>
      <w:pPr>
        <w:tabs>
          <w:tab w:val="num" w:pos="3240"/>
        </w:tabs>
        <w:ind w:left="3240" w:hanging="360"/>
      </w:pPr>
      <w:rPr>
        <w:rFonts w:ascii="Times New Roman" w:hAnsi="Times New Roman" w:hint="default"/>
      </w:rPr>
    </w:lvl>
    <w:lvl w:ilvl="5" w:tplc="71985B36" w:tentative="1">
      <w:start w:val="1"/>
      <w:numFmt w:val="bullet"/>
      <w:lvlText w:val="–"/>
      <w:lvlJc w:val="left"/>
      <w:pPr>
        <w:tabs>
          <w:tab w:val="num" w:pos="3960"/>
        </w:tabs>
        <w:ind w:left="3960" w:hanging="360"/>
      </w:pPr>
      <w:rPr>
        <w:rFonts w:ascii="Times New Roman" w:hAnsi="Times New Roman" w:hint="default"/>
      </w:rPr>
    </w:lvl>
    <w:lvl w:ilvl="6" w:tplc="9E2A4246" w:tentative="1">
      <w:start w:val="1"/>
      <w:numFmt w:val="bullet"/>
      <w:lvlText w:val="–"/>
      <w:lvlJc w:val="left"/>
      <w:pPr>
        <w:tabs>
          <w:tab w:val="num" w:pos="4680"/>
        </w:tabs>
        <w:ind w:left="4680" w:hanging="360"/>
      </w:pPr>
      <w:rPr>
        <w:rFonts w:ascii="Times New Roman" w:hAnsi="Times New Roman" w:hint="default"/>
      </w:rPr>
    </w:lvl>
    <w:lvl w:ilvl="7" w:tplc="D62E28AA" w:tentative="1">
      <w:start w:val="1"/>
      <w:numFmt w:val="bullet"/>
      <w:lvlText w:val="–"/>
      <w:lvlJc w:val="left"/>
      <w:pPr>
        <w:tabs>
          <w:tab w:val="num" w:pos="5400"/>
        </w:tabs>
        <w:ind w:left="5400" w:hanging="360"/>
      </w:pPr>
      <w:rPr>
        <w:rFonts w:ascii="Times New Roman" w:hAnsi="Times New Roman" w:hint="default"/>
      </w:rPr>
    </w:lvl>
    <w:lvl w:ilvl="8" w:tplc="782247D0"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0771347C"/>
    <w:multiLevelType w:val="multilevel"/>
    <w:tmpl w:val="76F40066"/>
    <w:lvl w:ilvl="0">
      <w:start w:val="1"/>
      <w:numFmt w:val="decimal"/>
      <w:lvlText w:val="%1."/>
      <w:lvlJc w:val="left"/>
      <w:pPr>
        <w:ind w:left="408" w:hanging="408"/>
      </w:pPr>
      <w:rPr>
        <w:rFonts w:hint="default"/>
        <w:i w:val="0"/>
        <w:sz w:val="26"/>
      </w:rPr>
    </w:lvl>
    <w:lvl w:ilvl="1">
      <w:start w:val="3"/>
      <w:numFmt w:val="decimal"/>
      <w:lvlText w:val="%1.%2."/>
      <w:lvlJc w:val="left"/>
      <w:pPr>
        <w:ind w:left="720" w:hanging="720"/>
      </w:pPr>
      <w:rPr>
        <w:rFonts w:hint="default"/>
        <w:i w:val="0"/>
        <w:sz w:val="26"/>
      </w:rPr>
    </w:lvl>
    <w:lvl w:ilvl="2">
      <w:start w:val="1"/>
      <w:numFmt w:val="decimal"/>
      <w:lvlText w:val="%1.%2.%3."/>
      <w:lvlJc w:val="left"/>
      <w:pPr>
        <w:ind w:left="720" w:hanging="720"/>
      </w:pPr>
      <w:rPr>
        <w:rFonts w:hint="default"/>
        <w:i w:val="0"/>
        <w:sz w:val="26"/>
      </w:rPr>
    </w:lvl>
    <w:lvl w:ilvl="3">
      <w:start w:val="1"/>
      <w:numFmt w:val="decimal"/>
      <w:lvlText w:val="%1.%2.%3.%4."/>
      <w:lvlJc w:val="left"/>
      <w:pPr>
        <w:ind w:left="1080" w:hanging="1080"/>
      </w:pPr>
      <w:rPr>
        <w:rFonts w:hint="default"/>
        <w:i w:val="0"/>
        <w:sz w:val="26"/>
      </w:rPr>
    </w:lvl>
    <w:lvl w:ilvl="4">
      <w:start w:val="1"/>
      <w:numFmt w:val="lowerLetter"/>
      <w:lvlText w:val="%1.%2.%3.%4.%5."/>
      <w:lvlJc w:val="left"/>
      <w:pPr>
        <w:ind w:left="1080" w:hanging="1080"/>
      </w:pPr>
      <w:rPr>
        <w:rFonts w:hint="default"/>
        <w:i w:val="0"/>
        <w:sz w:val="26"/>
      </w:rPr>
    </w:lvl>
    <w:lvl w:ilvl="5">
      <w:start w:val="1"/>
      <w:numFmt w:val="decimal"/>
      <w:lvlText w:val="%1.%2.%3.%4.%5.%6."/>
      <w:lvlJc w:val="left"/>
      <w:pPr>
        <w:ind w:left="1440" w:hanging="1440"/>
      </w:pPr>
      <w:rPr>
        <w:rFonts w:hint="default"/>
        <w:i w:val="0"/>
        <w:sz w:val="26"/>
      </w:rPr>
    </w:lvl>
    <w:lvl w:ilvl="6">
      <w:start w:val="1"/>
      <w:numFmt w:val="decimal"/>
      <w:lvlText w:val="%1.%2.%3.%4.%5.%6.%7."/>
      <w:lvlJc w:val="left"/>
      <w:pPr>
        <w:ind w:left="1440" w:hanging="1440"/>
      </w:pPr>
      <w:rPr>
        <w:rFonts w:hint="default"/>
        <w:i w:val="0"/>
        <w:sz w:val="26"/>
      </w:rPr>
    </w:lvl>
    <w:lvl w:ilvl="7">
      <w:start w:val="1"/>
      <w:numFmt w:val="decimal"/>
      <w:lvlText w:val="%1.%2.%3.%4.%5.%6.%7.%8."/>
      <w:lvlJc w:val="left"/>
      <w:pPr>
        <w:ind w:left="1800" w:hanging="1800"/>
      </w:pPr>
      <w:rPr>
        <w:rFonts w:hint="default"/>
        <w:i w:val="0"/>
        <w:sz w:val="26"/>
      </w:rPr>
    </w:lvl>
    <w:lvl w:ilvl="8">
      <w:start w:val="1"/>
      <w:numFmt w:val="decimal"/>
      <w:lvlText w:val="%1.%2.%3.%4.%5.%6.%7.%8.%9."/>
      <w:lvlJc w:val="left"/>
      <w:pPr>
        <w:ind w:left="1800" w:hanging="1800"/>
      </w:pPr>
      <w:rPr>
        <w:rFonts w:hint="default"/>
        <w:i w:val="0"/>
        <w:sz w:val="26"/>
      </w:rPr>
    </w:lvl>
  </w:abstractNum>
  <w:abstractNum w:abstractNumId="13" w15:restartNumberingAfterBreak="0">
    <w:nsid w:val="0DC27DAF"/>
    <w:multiLevelType w:val="hybridMultilevel"/>
    <w:tmpl w:val="0B145EB8"/>
    <w:lvl w:ilvl="0" w:tplc="4A40E3FA">
      <w:start w:val="1"/>
      <w:numFmt w:val="decimal"/>
      <w:lvlText w:val="%1."/>
      <w:lvlJc w:val="left"/>
      <w:pPr>
        <w:ind w:left="720" w:firstLine="360"/>
      </w:pPr>
    </w:lvl>
    <w:lvl w:ilvl="1" w:tplc="968843EE">
      <w:start w:val="1"/>
      <w:numFmt w:val="bullet"/>
      <w:lvlText w:val="o"/>
      <w:lvlJc w:val="left"/>
      <w:pPr>
        <w:ind w:left="1440" w:firstLine="1080"/>
      </w:pPr>
      <w:rPr>
        <w:rFonts w:ascii="Arial" w:eastAsia="Arial" w:hAnsi="Arial" w:cs="Arial"/>
      </w:rPr>
    </w:lvl>
    <w:lvl w:ilvl="2" w:tplc="94F62F82">
      <w:start w:val="1"/>
      <w:numFmt w:val="bullet"/>
      <w:lvlText w:val="▪"/>
      <w:lvlJc w:val="left"/>
      <w:pPr>
        <w:ind w:left="2160" w:firstLine="1800"/>
      </w:pPr>
      <w:rPr>
        <w:rFonts w:ascii="Arial" w:eastAsia="Arial" w:hAnsi="Arial" w:cs="Arial"/>
      </w:rPr>
    </w:lvl>
    <w:lvl w:ilvl="3" w:tplc="E966AD4A">
      <w:start w:val="1"/>
      <w:numFmt w:val="bullet"/>
      <w:lvlText w:val="●"/>
      <w:lvlJc w:val="left"/>
      <w:pPr>
        <w:ind w:left="2880" w:firstLine="2520"/>
      </w:pPr>
      <w:rPr>
        <w:rFonts w:ascii="Arial" w:eastAsia="Arial" w:hAnsi="Arial" w:cs="Arial"/>
      </w:rPr>
    </w:lvl>
    <w:lvl w:ilvl="4" w:tplc="9D487EEA">
      <w:start w:val="1"/>
      <w:numFmt w:val="bullet"/>
      <w:lvlText w:val="o"/>
      <w:lvlJc w:val="left"/>
      <w:pPr>
        <w:ind w:left="3600" w:firstLine="3240"/>
      </w:pPr>
      <w:rPr>
        <w:rFonts w:ascii="Arial" w:eastAsia="Arial" w:hAnsi="Arial" w:cs="Arial"/>
      </w:rPr>
    </w:lvl>
    <w:lvl w:ilvl="5" w:tplc="34D2ADA0">
      <w:start w:val="1"/>
      <w:numFmt w:val="bullet"/>
      <w:lvlText w:val="▪"/>
      <w:lvlJc w:val="left"/>
      <w:pPr>
        <w:ind w:left="4320" w:firstLine="3960"/>
      </w:pPr>
      <w:rPr>
        <w:rFonts w:ascii="Arial" w:eastAsia="Arial" w:hAnsi="Arial" w:cs="Arial"/>
      </w:rPr>
    </w:lvl>
    <w:lvl w:ilvl="6" w:tplc="572A628C">
      <w:start w:val="1"/>
      <w:numFmt w:val="bullet"/>
      <w:lvlText w:val="●"/>
      <w:lvlJc w:val="left"/>
      <w:pPr>
        <w:ind w:left="5040" w:firstLine="4680"/>
      </w:pPr>
      <w:rPr>
        <w:rFonts w:ascii="Arial" w:eastAsia="Arial" w:hAnsi="Arial" w:cs="Arial"/>
      </w:rPr>
    </w:lvl>
    <w:lvl w:ilvl="7" w:tplc="F1ACD838">
      <w:start w:val="1"/>
      <w:numFmt w:val="bullet"/>
      <w:lvlText w:val="o"/>
      <w:lvlJc w:val="left"/>
      <w:pPr>
        <w:ind w:left="5760" w:firstLine="5400"/>
      </w:pPr>
      <w:rPr>
        <w:rFonts w:ascii="Arial" w:eastAsia="Arial" w:hAnsi="Arial" w:cs="Arial"/>
      </w:rPr>
    </w:lvl>
    <w:lvl w:ilvl="8" w:tplc="75301864">
      <w:start w:val="1"/>
      <w:numFmt w:val="bullet"/>
      <w:lvlText w:val="▪"/>
      <w:lvlJc w:val="left"/>
      <w:pPr>
        <w:ind w:left="6480" w:firstLine="6120"/>
      </w:pPr>
      <w:rPr>
        <w:rFonts w:ascii="Arial" w:eastAsia="Arial" w:hAnsi="Arial" w:cs="Arial"/>
      </w:rPr>
    </w:lvl>
  </w:abstractNum>
  <w:abstractNum w:abstractNumId="14" w15:restartNumberingAfterBreak="0">
    <w:nsid w:val="0DDB358A"/>
    <w:multiLevelType w:val="hybridMultilevel"/>
    <w:tmpl w:val="8A30F264"/>
    <w:lvl w:ilvl="0" w:tplc="6F5EE21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601E63"/>
    <w:multiLevelType w:val="multilevel"/>
    <w:tmpl w:val="921807BE"/>
    <w:lvl w:ilvl="0">
      <w:start w:val="1"/>
      <w:numFmt w:val="decimal"/>
      <w:lvlText w:val="%1."/>
      <w:lvlJc w:val="left"/>
      <w:pPr>
        <w:ind w:left="720" w:hanging="360"/>
      </w:pPr>
      <w:rPr>
        <w:rFonts w:hint="default"/>
      </w:rPr>
    </w:lvl>
    <w:lvl w:ilvl="1">
      <w:start w:val="5"/>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1AA277B1"/>
    <w:multiLevelType w:val="hybridMultilevel"/>
    <w:tmpl w:val="8DAC8344"/>
    <w:lvl w:ilvl="0" w:tplc="E136938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B92E14"/>
    <w:multiLevelType w:val="hybridMultilevel"/>
    <w:tmpl w:val="C1F6B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12707E3"/>
    <w:multiLevelType w:val="multilevel"/>
    <w:tmpl w:val="6C461886"/>
    <w:lvl w:ilvl="0">
      <w:start w:val="1"/>
      <w:numFmt w:val="decimal"/>
      <w:lvlText w:val="%1."/>
      <w:lvlJc w:val="left"/>
      <w:pPr>
        <w:ind w:left="990" w:firstLine="630"/>
      </w:pPr>
    </w:lvl>
    <w:lvl w:ilvl="1">
      <w:start w:val="1"/>
      <w:numFmt w:val="decimal"/>
      <w:lvlText w:val="%1.%2."/>
      <w:lvlJc w:val="left"/>
      <w:pPr>
        <w:ind w:left="81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19" w15:restartNumberingAfterBreak="0">
    <w:nsid w:val="23786C08"/>
    <w:multiLevelType w:val="hybridMultilevel"/>
    <w:tmpl w:val="833C3B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7115A0"/>
    <w:multiLevelType w:val="hybridMultilevel"/>
    <w:tmpl w:val="96A27034"/>
    <w:lvl w:ilvl="0" w:tplc="2C8444AE">
      <w:start w:val="400"/>
      <w:numFmt w:val="bullet"/>
      <w:lvlText w:val="-"/>
      <w:lvlJc w:val="left"/>
      <w:pPr>
        <w:ind w:left="2160" w:firstLine="360"/>
      </w:pPr>
      <w:rPr>
        <w:rFonts w:ascii="Arial" w:eastAsia="Arial" w:hAnsi="Arial" w:cs="Arial"/>
      </w:rPr>
    </w:lvl>
    <w:lvl w:ilvl="1" w:tplc="2F368DEA">
      <w:start w:val="1"/>
      <w:numFmt w:val="bullet"/>
      <w:lvlText w:val="o"/>
      <w:lvlJc w:val="left"/>
      <w:pPr>
        <w:ind w:left="2880" w:firstLine="1080"/>
      </w:pPr>
      <w:rPr>
        <w:rFonts w:ascii="Arial" w:eastAsia="Arial" w:hAnsi="Arial" w:cs="Arial"/>
      </w:rPr>
    </w:lvl>
    <w:lvl w:ilvl="2" w:tplc="E564EF8C">
      <w:start w:val="1"/>
      <w:numFmt w:val="bullet"/>
      <w:lvlText w:val="▪"/>
      <w:lvlJc w:val="left"/>
      <w:pPr>
        <w:ind w:left="3600" w:firstLine="1800"/>
      </w:pPr>
      <w:rPr>
        <w:rFonts w:ascii="Arial" w:eastAsia="Arial" w:hAnsi="Arial" w:cs="Arial"/>
      </w:rPr>
    </w:lvl>
    <w:lvl w:ilvl="3" w:tplc="5CC20270">
      <w:start w:val="1"/>
      <w:numFmt w:val="bullet"/>
      <w:lvlText w:val="●"/>
      <w:lvlJc w:val="left"/>
      <w:pPr>
        <w:ind w:left="4320" w:firstLine="2520"/>
      </w:pPr>
      <w:rPr>
        <w:rFonts w:ascii="Arial" w:eastAsia="Arial" w:hAnsi="Arial" w:cs="Arial"/>
      </w:rPr>
    </w:lvl>
    <w:lvl w:ilvl="4" w:tplc="C80AD0D6">
      <w:start w:val="1"/>
      <w:numFmt w:val="bullet"/>
      <w:lvlText w:val="o"/>
      <w:lvlJc w:val="left"/>
      <w:pPr>
        <w:ind w:left="5040" w:firstLine="3240"/>
      </w:pPr>
      <w:rPr>
        <w:rFonts w:ascii="Arial" w:eastAsia="Arial" w:hAnsi="Arial" w:cs="Arial"/>
      </w:rPr>
    </w:lvl>
    <w:lvl w:ilvl="5" w:tplc="24FEAD76">
      <w:start w:val="1"/>
      <w:numFmt w:val="bullet"/>
      <w:lvlText w:val="▪"/>
      <w:lvlJc w:val="left"/>
      <w:pPr>
        <w:ind w:left="5760" w:firstLine="3960"/>
      </w:pPr>
      <w:rPr>
        <w:rFonts w:ascii="Arial" w:eastAsia="Arial" w:hAnsi="Arial" w:cs="Arial"/>
      </w:rPr>
    </w:lvl>
    <w:lvl w:ilvl="6" w:tplc="20EEBE0A">
      <w:start w:val="1"/>
      <w:numFmt w:val="bullet"/>
      <w:lvlText w:val="●"/>
      <w:lvlJc w:val="left"/>
      <w:pPr>
        <w:ind w:left="6480" w:firstLine="4680"/>
      </w:pPr>
      <w:rPr>
        <w:rFonts w:ascii="Arial" w:eastAsia="Arial" w:hAnsi="Arial" w:cs="Arial"/>
      </w:rPr>
    </w:lvl>
    <w:lvl w:ilvl="7" w:tplc="326EEC36">
      <w:start w:val="1"/>
      <w:numFmt w:val="bullet"/>
      <w:lvlText w:val="o"/>
      <w:lvlJc w:val="left"/>
      <w:pPr>
        <w:ind w:left="7200" w:firstLine="5400"/>
      </w:pPr>
      <w:rPr>
        <w:rFonts w:ascii="Arial" w:eastAsia="Arial" w:hAnsi="Arial" w:cs="Arial"/>
      </w:rPr>
    </w:lvl>
    <w:lvl w:ilvl="8" w:tplc="79289118">
      <w:start w:val="1"/>
      <w:numFmt w:val="bullet"/>
      <w:lvlText w:val="▪"/>
      <w:lvlJc w:val="left"/>
      <w:pPr>
        <w:ind w:left="7920" w:firstLine="6120"/>
      </w:pPr>
      <w:rPr>
        <w:rFonts w:ascii="Arial" w:eastAsia="Arial" w:hAnsi="Arial" w:cs="Arial"/>
      </w:rPr>
    </w:lvl>
  </w:abstractNum>
  <w:abstractNum w:abstractNumId="21" w15:restartNumberingAfterBreak="0">
    <w:nsid w:val="25864ABD"/>
    <w:multiLevelType w:val="hybridMultilevel"/>
    <w:tmpl w:val="EFD2DD7C"/>
    <w:lvl w:ilvl="0" w:tplc="2E9EB6EC">
      <w:start w:val="1"/>
      <w:numFmt w:val="bullet"/>
      <w:lvlText w:val=""/>
      <w:lvlJc w:val="left"/>
      <w:pPr>
        <w:tabs>
          <w:tab w:val="num" w:pos="720"/>
        </w:tabs>
        <w:ind w:left="720" w:hanging="360"/>
      </w:pPr>
      <w:rPr>
        <w:rFonts w:ascii="Symbol" w:hAnsi="Symbol" w:hint="default"/>
        <w:sz w:val="20"/>
      </w:rPr>
    </w:lvl>
    <w:lvl w:ilvl="1" w:tplc="EF0AE000">
      <w:start w:val="1"/>
      <w:numFmt w:val="bullet"/>
      <w:lvlText w:val="o"/>
      <w:lvlJc w:val="left"/>
      <w:pPr>
        <w:tabs>
          <w:tab w:val="num" w:pos="1440"/>
        </w:tabs>
        <w:ind w:left="1440" w:hanging="360"/>
      </w:pPr>
      <w:rPr>
        <w:rFonts w:ascii="Courier New" w:hAnsi="Courier New" w:cs="Times New Roman" w:hint="default"/>
        <w:sz w:val="20"/>
      </w:rPr>
    </w:lvl>
    <w:lvl w:ilvl="2" w:tplc="224AE790">
      <w:start w:val="1"/>
      <w:numFmt w:val="bullet"/>
      <w:lvlText w:val=""/>
      <w:lvlJc w:val="left"/>
      <w:pPr>
        <w:tabs>
          <w:tab w:val="num" w:pos="2160"/>
        </w:tabs>
        <w:ind w:left="2160" w:hanging="360"/>
      </w:pPr>
      <w:rPr>
        <w:rFonts w:ascii="Wingdings" w:hAnsi="Wingdings" w:hint="default"/>
        <w:sz w:val="20"/>
      </w:rPr>
    </w:lvl>
    <w:lvl w:ilvl="3" w:tplc="0DACCC9C">
      <w:start w:val="1"/>
      <w:numFmt w:val="bullet"/>
      <w:lvlText w:val=""/>
      <w:lvlJc w:val="left"/>
      <w:pPr>
        <w:tabs>
          <w:tab w:val="num" w:pos="2880"/>
        </w:tabs>
        <w:ind w:left="2880" w:hanging="360"/>
      </w:pPr>
      <w:rPr>
        <w:rFonts w:ascii="Wingdings" w:hAnsi="Wingdings" w:hint="default"/>
        <w:sz w:val="20"/>
      </w:rPr>
    </w:lvl>
    <w:lvl w:ilvl="4" w:tplc="F7E0D308">
      <w:start w:val="1"/>
      <w:numFmt w:val="bullet"/>
      <w:lvlText w:val=""/>
      <w:lvlJc w:val="left"/>
      <w:pPr>
        <w:tabs>
          <w:tab w:val="num" w:pos="3600"/>
        </w:tabs>
        <w:ind w:left="3600" w:hanging="360"/>
      </w:pPr>
      <w:rPr>
        <w:rFonts w:ascii="Wingdings" w:hAnsi="Wingdings" w:hint="default"/>
        <w:sz w:val="20"/>
      </w:rPr>
    </w:lvl>
    <w:lvl w:ilvl="5" w:tplc="82DC9196">
      <w:start w:val="1"/>
      <w:numFmt w:val="bullet"/>
      <w:lvlText w:val=""/>
      <w:lvlJc w:val="left"/>
      <w:pPr>
        <w:tabs>
          <w:tab w:val="num" w:pos="4320"/>
        </w:tabs>
        <w:ind w:left="4320" w:hanging="360"/>
      </w:pPr>
      <w:rPr>
        <w:rFonts w:ascii="Wingdings" w:hAnsi="Wingdings" w:hint="default"/>
        <w:sz w:val="20"/>
      </w:rPr>
    </w:lvl>
    <w:lvl w:ilvl="6" w:tplc="89609446">
      <w:start w:val="1"/>
      <w:numFmt w:val="bullet"/>
      <w:lvlText w:val=""/>
      <w:lvlJc w:val="left"/>
      <w:pPr>
        <w:tabs>
          <w:tab w:val="num" w:pos="5040"/>
        </w:tabs>
        <w:ind w:left="5040" w:hanging="360"/>
      </w:pPr>
      <w:rPr>
        <w:rFonts w:ascii="Wingdings" w:hAnsi="Wingdings" w:hint="default"/>
        <w:sz w:val="20"/>
      </w:rPr>
    </w:lvl>
    <w:lvl w:ilvl="7" w:tplc="E3F85450">
      <w:start w:val="1"/>
      <w:numFmt w:val="bullet"/>
      <w:lvlText w:val=""/>
      <w:lvlJc w:val="left"/>
      <w:pPr>
        <w:tabs>
          <w:tab w:val="num" w:pos="5760"/>
        </w:tabs>
        <w:ind w:left="5760" w:hanging="360"/>
      </w:pPr>
      <w:rPr>
        <w:rFonts w:ascii="Wingdings" w:hAnsi="Wingdings" w:hint="default"/>
        <w:sz w:val="20"/>
      </w:rPr>
    </w:lvl>
    <w:lvl w:ilvl="8" w:tplc="15C6ACCE">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071068"/>
    <w:multiLevelType w:val="hybridMultilevel"/>
    <w:tmpl w:val="B5286B26"/>
    <w:lvl w:ilvl="0" w:tplc="668A27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B14C2E"/>
    <w:multiLevelType w:val="hybridMultilevel"/>
    <w:tmpl w:val="B1D4BB8A"/>
    <w:lvl w:ilvl="0" w:tplc="C35AE2E6">
      <w:start w:val="1"/>
      <w:numFmt w:val="decimal"/>
      <w:lvlText w:val="%1."/>
      <w:lvlJc w:val="left"/>
      <w:pPr>
        <w:ind w:left="720" w:firstLine="360"/>
      </w:pPr>
    </w:lvl>
    <w:lvl w:ilvl="1" w:tplc="4F3E4D6A">
      <w:start w:val="1"/>
      <w:numFmt w:val="bullet"/>
      <w:lvlText w:val="o"/>
      <w:lvlJc w:val="left"/>
      <w:pPr>
        <w:ind w:left="1440" w:firstLine="1080"/>
      </w:pPr>
      <w:rPr>
        <w:rFonts w:ascii="Arial" w:eastAsia="Arial" w:hAnsi="Arial" w:cs="Arial"/>
      </w:rPr>
    </w:lvl>
    <w:lvl w:ilvl="2" w:tplc="4BD49D46">
      <w:start w:val="1"/>
      <w:numFmt w:val="bullet"/>
      <w:lvlText w:val="▪"/>
      <w:lvlJc w:val="left"/>
      <w:pPr>
        <w:ind w:left="2160" w:firstLine="1800"/>
      </w:pPr>
      <w:rPr>
        <w:rFonts w:ascii="Arial" w:eastAsia="Arial" w:hAnsi="Arial" w:cs="Arial"/>
      </w:rPr>
    </w:lvl>
    <w:lvl w:ilvl="3" w:tplc="272C4FE0">
      <w:start w:val="1"/>
      <w:numFmt w:val="bullet"/>
      <w:lvlText w:val="●"/>
      <w:lvlJc w:val="left"/>
      <w:pPr>
        <w:ind w:left="2880" w:firstLine="2520"/>
      </w:pPr>
      <w:rPr>
        <w:rFonts w:ascii="Arial" w:eastAsia="Arial" w:hAnsi="Arial" w:cs="Arial"/>
      </w:rPr>
    </w:lvl>
    <w:lvl w:ilvl="4" w:tplc="B020574C">
      <w:start w:val="1"/>
      <w:numFmt w:val="bullet"/>
      <w:lvlText w:val="o"/>
      <w:lvlJc w:val="left"/>
      <w:pPr>
        <w:ind w:left="3600" w:firstLine="3240"/>
      </w:pPr>
      <w:rPr>
        <w:rFonts w:ascii="Arial" w:eastAsia="Arial" w:hAnsi="Arial" w:cs="Arial"/>
      </w:rPr>
    </w:lvl>
    <w:lvl w:ilvl="5" w:tplc="5E60F94E">
      <w:start w:val="1"/>
      <w:numFmt w:val="bullet"/>
      <w:lvlText w:val="▪"/>
      <w:lvlJc w:val="left"/>
      <w:pPr>
        <w:ind w:left="4320" w:firstLine="3960"/>
      </w:pPr>
      <w:rPr>
        <w:rFonts w:ascii="Arial" w:eastAsia="Arial" w:hAnsi="Arial" w:cs="Arial"/>
      </w:rPr>
    </w:lvl>
    <w:lvl w:ilvl="6" w:tplc="F0768676">
      <w:start w:val="1"/>
      <w:numFmt w:val="bullet"/>
      <w:lvlText w:val="●"/>
      <w:lvlJc w:val="left"/>
      <w:pPr>
        <w:ind w:left="5040" w:firstLine="4680"/>
      </w:pPr>
      <w:rPr>
        <w:rFonts w:ascii="Arial" w:eastAsia="Arial" w:hAnsi="Arial" w:cs="Arial"/>
      </w:rPr>
    </w:lvl>
    <w:lvl w:ilvl="7" w:tplc="D23AB038">
      <w:start w:val="1"/>
      <w:numFmt w:val="bullet"/>
      <w:lvlText w:val="o"/>
      <w:lvlJc w:val="left"/>
      <w:pPr>
        <w:ind w:left="5760" w:firstLine="5400"/>
      </w:pPr>
      <w:rPr>
        <w:rFonts w:ascii="Arial" w:eastAsia="Arial" w:hAnsi="Arial" w:cs="Arial"/>
      </w:rPr>
    </w:lvl>
    <w:lvl w:ilvl="8" w:tplc="CD3E4DF6">
      <w:start w:val="1"/>
      <w:numFmt w:val="bullet"/>
      <w:lvlText w:val="▪"/>
      <w:lvlJc w:val="left"/>
      <w:pPr>
        <w:ind w:left="6480" w:firstLine="6120"/>
      </w:pPr>
      <w:rPr>
        <w:rFonts w:ascii="Arial" w:eastAsia="Arial" w:hAnsi="Arial" w:cs="Arial"/>
      </w:rPr>
    </w:lvl>
  </w:abstractNum>
  <w:abstractNum w:abstractNumId="24" w15:restartNumberingAfterBreak="0">
    <w:nsid w:val="2CCC59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6EA5E35"/>
    <w:multiLevelType w:val="hybridMultilevel"/>
    <w:tmpl w:val="BDD2CE12"/>
    <w:lvl w:ilvl="0" w:tplc="35BE26E0">
      <w:start w:val="1"/>
      <w:numFmt w:val="bullet"/>
      <w:lvlText w:val="–"/>
      <w:lvlJc w:val="left"/>
      <w:pPr>
        <w:tabs>
          <w:tab w:val="num" w:pos="720"/>
        </w:tabs>
        <w:ind w:left="720" w:hanging="360"/>
      </w:pPr>
      <w:rPr>
        <w:rFonts w:ascii="Times New Roman" w:hAnsi="Times New Roman" w:hint="default"/>
      </w:rPr>
    </w:lvl>
    <w:lvl w:ilvl="1" w:tplc="E886E6BC">
      <w:start w:val="1"/>
      <w:numFmt w:val="bullet"/>
      <w:lvlText w:val="–"/>
      <w:lvlJc w:val="left"/>
      <w:pPr>
        <w:tabs>
          <w:tab w:val="num" w:pos="1440"/>
        </w:tabs>
        <w:ind w:left="1440" w:hanging="360"/>
      </w:pPr>
      <w:rPr>
        <w:rFonts w:ascii="Times New Roman" w:hAnsi="Times New Roman" w:hint="default"/>
      </w:rPr>
    </w:lvl>
    <w:lvl w:ilvl="2" w:tplc="6E8448D4" w:tentative="1">
      <w:start w:val="1"/>
      <w:numFmt w:val="bullet"/>
      <w:lvlText w:val="–"/>
      <w:lvlJc w:val="left"/>
      <w:pPr>
        <w:tabs>
          <w:tab w:val="num" w:pos="2160"/>
        </w:tabs>
        <w:ind w:left="2160" w:hanging="360"/>
      </w:pPr>
      <w:rPr>
        <w:rFonts w:ascii="Times New Roman" w:hAnsi="Times New Roman" w:hint="default"/>
      </w:rPr>
    </w:lvl>
    <w:lvl w:ilvl="3" w:tplc="6D0CCF34" w:tentative="1">
      <w:start w:val="1"/>
      <w:numFmt w:val="bullet"/>
      <w:lvlText w:val="–"/>
      <w:lvlJc w:val="left"/>
      <w:pPr>
        <w:tabs>
          <w:tab w:val="num" w:pos="2880"/>
        </w:tabs>
        <w:ind w:left="2880" w:hanging="360"/>
      </w:pPr>
      <w:rPr>
        <w:rFonts w:ascii="Times New Roman" w:hAnsi="Times New Roman" w:hint="default"/>
      </w:rPr>
    </w:lvl>
    <w:lvl w:ilvl="4" w:tplc="A58A2522" w:tentative="1">
      <w:start w:val="1"/>
      <w:numFmt w:val="bullet"/>
      <w:lvlText w:val="–"/>
      <w:lvlJc w:val="left"/>
      <w:pPr>
        <w:tabs>
          <w:tab w:val="num" w:pos="3600"/>
        </w:tabs>
        <w:ind w:left="3600" w:hanging="360"/>
      </w:pPr>
      <w:rPr>
        <w:rFonts w:ascii="Times New Roman" w:hAnsi="Times New Roman" w:hint="default"/>
      </w:rPr>
    </w:lvl>
    <w:lvl w:ilvl="5" w:tplc="11E28E40" w:tentative="1">
      <w:start w:val="1"/>
      <w:numFmt w:val="bullet"/>
      <w:lvlText w:val="–"/>
      <w:lvlJc w:val="left"/>
      <w:pPr>
        <w:tabs>
          <w:tab w:val="num" w:pos="4320"/>
        </w:tabs>
        <w:ind w:left="4320" w:hanging="360"/>
      </w:pPr>
      <w:rPr>
        <w:rFonts w:ascii="Times New Roman" w:hAnsi="Times New Roman" w:hint="default"/>
      </w:rPr>
    </w:lvl>
    <w:lvl w:ilvl="6" w:tplc="D892D8CA" w:tentative="1">
      <w:start w:val="1"/>
      <w:numFmt w:val="bullet"/>
      <w:lvlText w:val="–"/>
      <w:lvlJc w:val="left"/>
      <w:pPr>
        <w:tabs>
          <w:tab w:val="num" w:pos="5040"/>
        </w:tabs>
        <w:ind w:left="5040" w:hanging="360"/>
      </w:pPr>
      <w:rPr>
        <w:rFonts w:ascii="Times New Roman" w:hAnsi="Times New Roman" w:hint="default"/>
      </w:rPr>
    </w:lvl>
    <w:lvl w:ilvl="7" w:tplc="665AEC9E" w:tentative="1">
      <w:start w:val="1"/>
      <w:numFmt w:val="bullet"/>
      <w:lvlText w:val="–"/>
      <w:lvlJc w:val="left"/>
      <w:pPr>
        <w:tabs>
          <w:tab w:val="num" w:pos="5760"/>
        </w:tabs>
        <w:ind w:left="5760" w:hanging="360"/>
      </w:pPr>
      <w:rPr>
        <w:rFonts w:ascii="Times New Roman" w:hAnsi="Times New Roman" w:hint="default"/>
      </w:rPr>
    </w:lvl>
    <w:lvl w:ilvl="8" w:tplc="04A0DC3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76015CE"/>
    <w:multiLevelType w:val="multilevel"/>
    <w:tmpl w:val="23A623E6"/>
    <w:lvl w:ilvl="0">
      <w:start w:val="1"/>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9721262"/>
    <w:multiLevelType w:val="hybridMultilevel"/>
    <w:tmpl w:val="FB6C1E12"/>
    <w:lvl w:ilvl="0" w:tplc="5D948A4E">
      <w:start w:val="1"/>
      <w:numFmt w:val="bullet"/>
      <w:lvlText w:val="●"/>
      <w:lvlJc w:val="left"/>
      <w:pPr>
        <w:ind w:left="720" w:firstLine="360"/>
      </w:pPr>
      <w:rPr>
        <w:rFonts w:ascii="Arial" w:eastAsia="Arial" w:hAnsi="Arial" w:cs="Arial"/>
      </w:rPr>
    </w:lvl>
    <w:lvl w:ilvl="1" w:tplc="62F247A2">
      <w:start w:val="1"/>
      <w:numFmt w:val="bullet"/>
      <w:lvlText w:val="o"/>
      <w:lvlJc w:val="left"/>
      <w:pPr>
        <w:ind w:left="1440" w:firstLine="1080"/>
      </w:pPr>
      <w:rPr>
        <w:rFonts w:ascii="Arial" w:eastAsia="Arial" w:hAnsi="Arial" w:cs="Arial"/>
      </w:rPr>
    </w:lvl>
    <w:lvl w:ilvl="2" w:tplc="683E9438">
      <w:start w:val="1"/>
      <w:numFmt w:val="bullet"/>
      <w:lvlText w:val="▪"/>
      <w:lvlJc w:val="left"/>
      <w:pPr>
        <w:ind w:left="2160" w:firstLine="1800"/>
      </w:pPr>
      <w:rPr>
        <w:rFonts w:ascii="Arial" w:eastAsia="Arial" w:hAnsi="Arial" w:cs="Arial"/>
      </w:rPr>
    </w:lvl>
    <w:lvl w:ilvl="3" w:tplc="97E0F61C">
      <w:start w:val="1"/>
      <w:numFmt w:val="bullet"/>
      <w:lvlText w:val="●"/>
      <w:lvlJc w:val="left"/>
      <w:pPr>
        <w:ind w:left="2880" w:firstLine="2520"/>
      </w:pPr>
      <w:rPr>
        <w:rFonts w:ascii="Arial" w:eastAsia="Arial" w:hAnsi="Arial" w:cs="Arial"/>
      </w:rPr>
    </w:lvl>
    <w:lvl w:ilvl="4" w:tplc="17F8CE00">
      <w:start w:val="1"/>
      <w:numFmt w:val="bullet"/>
      <w:lvlText w:val="o"/>
      <w:lvlJc w:val="left"/>
      <w:pPr>
        <w:ind w:left="3600" w:firstLine="3240"/>
      </w:pPr>
      <w:rPr>
        <w:rFonts w:ascii="Arial" w:eastAsia="Arial" w:hAnsi="Arial" w:cs="Arial"/>
      </w:rPr>
    </w:lvl>
    <w:lvl w:ilvl="5" w:tplc="7244118A">
      <w:start w:val="1"/>
      <w:numFmt w:val="bullet"/>
      <w:lvlText w:val="▪"/>
      <w:lvlJc w:val="left"/>
      <w:pPr>
        <w:ind w:left="4320" w:firstLine="3960"/>
      </w:pPr>
      <w:rPr>
        <w:rFonts w:ascii="Arial" w:eastAsia="Arial" w:hAnsi="Arial" w:cs="Arial"/>
      </w:rPr>
    </w:lvl>
    <w:lvl w:ilvl="6" w:tplc="5968787E">
      <w:start w:val="1"/>
      <w:numFmt w:val="bullet"/>
      <w:lvlText w:val="●"/>
      <w:lvlJc w:val="left"/>
      <w:pPr>
        <w:ind w:left="5040" w:firstLine="4680"/>
      </w:pPr>
      <w:rPr>
        <w:rFonts w:ascii="Arial" w:eastAsia="Arial" w:hAnsi="Arial" w:cs="Arial"/>
      </w:rPr>
    </w:lvl>
    <w:lvl w:ilvl="7" w:tplc="117AD9E2">
      <w:start w:val="1"/>
      <w:numFmt w:val="bullet"/>
      <w:lvlText w:val="o"/>
      <w:lvlJc w:val="left"/>
      <w:pPr>
        <w:ind w:left="5760" w:firstLine="5400"/>
      </w:pPr>
      <w:rPr>
        <w:rFonts w:ascii="Arial" w:eastAsia="Arial" w:hAnsi="Arial" w:cs="Arial"/>
      </w:rPr>
    </w:lvl>
    <w:lvl w:ilvl="8" w:tplc="75D4D892">
      <w:start w:val="1"/>
      <w:numFmt w:val="bullet"/>
      <w:lvlText w:val="▪"/>
      <w:lvlJc w:val="left"/>
      <w:pPr>
        <w:ind w:left="6480" w:firstLine="6120"/>
      </w:pPr>
      <w:rPr>
        <w:rFonts w:ascii="Arial" w:eastAsia="Arial" w:hAnsi="Arial" w:cs="Arial"/>
      </w:rPr>
    </w:lvl>
  </w:abstractNum>
  <w:abstractNum w:abstractNumId="28" w15:restartNumberingAfterBreak="0">
    <w:nsid w:val="3AD30157"/>
    <w:multiLevelType w:val="hybridMultilevel"/>
    <w:tmpl w:val="4784F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2A9224B"/>
    <w:multiLevelType w:val="hybridMultilevel"/>
    <w:tmpl w:val="A0AE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84588D"/>
    <w:multiLevelType w:val="multilevel"/>
    <w:tmpl w:val="2D2C56A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43AE38F8"/>
    <w:multiLevelType w:val="multilevel"/>
    <w:tmpl w:val="CF405AA4"/>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lowerLetter"/>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2" w15:restartNumberingAfterBreak="0">
    <w:nsid w:val="49A34203"/>
    <w:multiLevelType w:val="hybridMultilevel"/>
    <w:tmpl w:val="476A00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3D3B77"/>
    <w:multiLevelType w:val="hybridMultilevel"/>
    <w:tmpl w:val="26DE5A28"/>
    <w:lvl w:ilvl="0" w:tplc="301C03CC">
      <w:start w:val="1"/>
      <w:numFmt w:val="lowerLetter"/>
      <w:lvlText w:val="%1)"/>
      <w:lvlJc w:val="left"/>
      <w:pPr>
        <w:tabs>
          <w:tab w:val="num" w:pos="720"/>
        </w:tabs>
        <w:ind w:left="720" w:hanging="360"/>
      </w:pPr>
    </w:lvl>
    <w:lvl w:ilvl="1" w:tplc="2416B632">
      <w:start w:val="1"/>
      <w:numFmt w:val="lowerLetter"/>
      <w:lvlText w:val="%2)"/>
      <w:lvlJc w:val="left"/>
      <w:pPr>
        <w:tabs>
          <w:tab w:val="num" w:pos="1440"/>
        </w:tabs>
        <w:ind w:left="1440" w:hanging="360"/>
      </w:pPr>
    </w:lvl>
    <w:lvl w:ilvl="2" w:tplc="46906632">
      <w:start w:val="334"/>
      <w:numFmt w:val="bullet"/>
      <w:lvlText w:val="•"/>
      <w:lvlJc w:val="left"/>
      <w:pPr>
        <w:tabs>
          <w:tab w:val="num" w:pos="2160"/>
        </w:tabs>
        <w:ind w:left="2160" w:hanging="360"/>
      </w:pPr>
      <w:rPr>
        <w:rFonts w:ascii="Times New Roman" w:hAnsi="Times New Roman" w:hint="default"/>
      </w:rPr>
    </w:lvl>
    <w:lvl w:ilvl="3" w:tplc="FEFEF8DC" w:tentative="1">
      <w:start w:val="1"/>
      <w:numFmt w:val="lowerLetter"/>
      <w:lvlText w:val="%4)"/>
      <w:lvlJc w:val="left"/>
      <w:pPr>
        <w:tabs>
          <w:tab w:val="num" w:pos="2880"/>
        </w:tabs>
        <w:ind w:left="2880" w:hanging="360"/>
      </w:pPr>
    </w:lvl>
    <w:lvl w:ilvl="4" w:tplc="9D2875CA" w:tentative="1">
      <w:start w:val="1"/>
      <w:numFmt w:val="lowerLetter"/>
      <w:lvlText w:val="%5)"/>
      <w:lvlJc w:val="left"/>
      <w:pPr>
        <w:tabs>
          <w:tab w:val="num" w:pos="3600"/>
        </w:tabs>
        <w:ind w:left="3600" w:hanging="360"/>
      </w:pPr>
    </w:lvl>
    <w:lvl w:ilvl="5" w:tplc="4EE294C4" w:tentative="1">
      <w:start w:val="1"/>
      <w:numFmt w:val="lowerLetter"/>
      <w:lvlText w:val="%6)"/>
      <w:lvlJc w:val="left"/>
      <w:pPr>
        <w:tabs>
          <w:tab w:val="num" w:pos="4320"/>
        </w:tabs>
        <w:ind w:left="4320" w:hanging="360"/>
      </w:pPr>
    </w:lvl>
    <w:lvl w:ilvl="6" w:tplc="C922968E" w:tentative="1">
      <w:start w:val="1"/>
      <w:numFmt w:val="lowerLetter"/>
      <w:lvlText w:val="%7)"/>
      <w:lvlJc w:val="left"/>
      <w:pPr>
        <w:tabs>
          <w:tab w:val="num" w:pos="5040"/>
        </w:tabs>
        <w:ind w:left="5040" w:hanging="360"/>
      </w:pPr>
    </w:lvl>
    <w:lvl w:ilvl="7" w:tplc="3B78BBDE" w:tentative="1">
      <w:start w:val="1"/>
      <w:numFmt w:val="lowerLetter"/>
      <w:lvlText w:val="%8)"/>
      <w:lvlJc w:val="left"/>
      <w:pPr>
        <w:tabs>
          <w:tab w:val="num" w:pos="5760"/>
        </w:tabs>
        <w:ind w:left="5760" w:hanging="360"/>
      </w:pPr>
    </w:lvl>
    <w:lvl w:ilvl="8" w:tplc="D15EC10C" w:tentative="1">
      <w:start w:val="1"/>
      <w:numFmt w:val="lowerLetter"/>
      <w:lvlText w:val="%9)"/>
      <w:lvlJc w:val="left"/>
      <w:pPr>
        <w:tabs>
          <w:tab w:val="num" w:pos="6480"/>
        </w:tabs>
        <w:ind w:left="6480" w:hanging="360"/>
      </w:pPr>
    </w:lvl>
  </w:abstractNum>
  <w:abstractNum w:abstractNumId="34" w15:restartNumberingAfterBreak="0">
    <w:nsid w:val="53FC448E"/>
    <w:multiLevelType w:val="hybridMultilevel"/>
    <w:tmpl w:val="8E04A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C81878"/>
    <w:multiLevelType w:val="hybridMultilevel"/>
    <w:tmpl w:val="1F704BEA"/>
    <w:lvl w:ilvl="0" w:tplc="0C84907A">
      <w:start w:val="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F1D1376"/>
    <w:multiLevelType w:val="hybridMultilevel"/>
    <w:tmpl w:val="A058E7D2"/>
    <w:lvl w:ilvl="0" w:tplc="0A92F59E">
      <w:start w:val="1"/>
      <w:numFmt w:val="bullet"/>
      <w:lvlText w:val="–"/>
      <w:lvlJc w:val="left"/>
      <w:pPr>
        <w:tabs>
          <w:tab w:val="num" w:pos="720"/>
        </w:tabs>
        <w:ind w:left="720" w:hanging="360"/>
      </w:pPr>
      <w:rPr>
        <w:rFonts w:ascii="Times New Roman" w:hAnsi="Times New Roman" w:hint="default"/>
      </w:rPr>
    </w:lvl>
    <w:lvl w:ilvl="1" w:tplc="450C3AAE">
      <w:start w:val="1"/>
      <w:numFmt w:val="bullet"/>
      <w:lvlText w:val="–"/>
      <w:lvlJc w:val="left"/>
      <w:pPr>
        <w:tabs>
          <w:tab w:val="num" w:pos="1440"/>
        </w:tabs>
        <w:ind w:left="1440" w:hanging="360"/>
      </w:pPr>
      <w:rPr>
        <w:rFonts w:ascii="Times New Roman" w:hAnsi="Times New Roman" w:hint="default"/>
      </w:rPr>
    </w:lvl>
    <w:lvl w:ilvl="2" w:tplc="8222C174" w:tentative="1">
      <w:start w:val="1"/>
      <w:numFmt w:val="bullet"/>
      <w:lvlText w:val="–"/>
      <w:lvlJc w:val="left"/>
      <w:pPr>
        <w:tabs>
          <w:tab w:val="num" w:pos="2160"/>
        </w:tabs>
        <w:ind w:left="2160" w:hanging="360"/>
      </w:pPr>
      <w:rPr>
        <w:rFonts w:ascii="Times New Roman" w:hAnsi="Times New Roman" w:hint="default"/>
      </w:rPr>
    </w:lvl>
    <w:lvl w:ilvl="3" w:tplc="00CCDF52" w:tentative="1">
      <w:start w:val="1"/>
      <w:numFmt w:val="bullet"/>
      <w:lvlText w:val="–"/>
      <w:lvlJc w:val="left"/>
      <w:pPr>
        <w:tabs>
          <w:tab w:val="num" w:pos="2880"/>
        </w:tabs>
        <w:ind w:left="2880" w:hanging="360"/>
      </w:pPr>
      <w:rPr>
        <w:rFonts w:ascii="Times New Roman" w:hAnsi="Times New Roman" w:hint="default"/>
      </w:rPr>
    </w:lvl>
    <w:lvl w:ilvl="4" w:tplc="12221D38" w:tentative="1">
      <w:start w:val="1"/>
      <w:numFmt w:val="bullet"/>
      <w:lvlText w:val="–"/>
      <w:lvlJc w:val="left"/>
      <w:pPr>
        <w:tabs>
          <w:tab w:val="num" w:pos="3600"/>
        </w:tabs>
        <w:ind w:left="3600" w:hanging="360"/>
      </w:pPr>
      <w:rPr>
        <w:rFonts w:ascii="Times New Roman" w:hAnsi="Times New Roman" w:hint="default"/>
      </w:rPr>
    </w:lvl>
    <w:lvl w:ilvl="5" w:tplc="533CAD84" w:tentative="1">
      <w:start w:val="1"/>
      <w:numFmt w:val="bullet"/>
      <w:lvlText w:val="–"/>
      <w:lvlJc w:val="left"/>
      <w:pPr>
        <w:tabs>
          <w:tab w:val="num" w:pos="4320"/>
        </w:tabs>
        <w:ind w:left="4320" w:hanging="360"/>
      </w:pPr>
      <w:rPr>
        <w:rFonts w:ascii="Times New Roman" w:hAnsi="Times New Roman" w:hint="default"/>
      </w:rPr>
    </w:lvl>
    <w:lvl w:ilvl="6" w:tplc="34562C72" w:tentative="1">
      <w:start w:val="1"/>
      <w:numFmt w:val="bullet"/>
      <w:lvlText w:val="–"/>
      <w:lvlJc w:val="left"/>
      <w:pPr>
        <w:tabs>
          <w:tab w:val="num" w:pos="5040"/>
        </w:tabs>
        <w:ind w:left="5040" w:hanging="360"/>
      </w:pPr>
      <w:rPr>
        <w:rFonts w:ascii="Times New Roman" w:hAnsi="Times New Roman" w:hint="default"/>
      </w:rPr>
    </w:lvl>
    <w:lvl w:ilvl="7" w:tplc="5E14C15A" w:tentative="1">
      <w:start w:val="1"/>
      <w:numFmt w:val="bullet"/>
      <w:lvlText w:val="–"/>
      <w:lvlJc w:val="left"/>
      <w:pPr>
        <w:tabs>
          <w:tab w:val="num" w:pos="5760"/>
        </w:tabs>
        <w:ind w:left="5760" w:hanging="360"/>
      </w:pPr>
      <w:rPr>
        <w:rFonts w:ascii="Times New Roman" w:hAnsi="Times New Roman" w:hint="default"/>
      </w:rPr>
    </w:lvl>
    <w:lvl w:ilvl="8" w:tplc="44560E6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0FE35C0"/>
    <w:multiLevelType w:val="hybridMultilevel"/>
    <w:tmpl w:val="973A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8D1382"/>
    <w:multiLevelType w:val="hybridMultilevel"/>
    <w:tmpl w:val="15DE51EE"/>
    <w:lvl w:ilvl="0" w:tplc="8272DD66">
      <w:start w:val="1"/>
      <w:numFmt w:val="bullet"/>
      <w:lvlText w:val="•"/>
      <w:lvlJc w:val="left"/>
      <w:pPr>
        <w:tabs>
          <w:tab w:val="num" w:pos="720"/>
        </w:tabs>
        <w:ind w:left="720" w:hanging="360"/>
      </w:pPr>
      <w:rPr>
        <w:rFonts w:ascii="Times New Roman" w:hAnsi="Times New Roman" w:hint="default"/>
      </w:rPr>
    </w:lvl>
    <w:lvl w:ilvl="1" w:tplc="3B1E4E9C" w:tentative="1">
      <w:start w:val="1"/>
      <w:numFmt w:val="bullet"/>
      <w:lvlText w:val="•"/>
      <w:lvlJc w:val="left"/>
      <w:pPr>
        <w:tabs>
          <w:tab w:val="num" w:pos="1440"/>
        </w:tabs>
        <w:ind w:left="1440" w:hanging="360"/>
      </w:pPr>
      <w:rPr>
        <w:rFonts w:ascii="Times New Roman" w:hAnsi="Times New Roman" w:hint="default"/>
      </w:rPr>
    </w:lvl>
    <w:lvl w:ilvl="2" w:tplc="13C4885C">
      <w:start w:val="1"/>
      <w:numFmt w:val="bullet"/>
      <w:lvlText w:val="•"/>
      <w:lvlJc w:val="left"/>
      <w:pPr>
        <w:tabs>
          <w:tab w:val="num" w:pos="2160"/>
        </w:tabs>
        <w:ind w:left="2160" w:hanging="360"/>
      </w:pPr>
      <w:rPr>
        <w:rFonts w:ascii="Times New Roman" w:hAnsi="Times New Roman" w:hint="default"/>
      </w:rPr>
    </w:lvl>
    <w:lvl w:ilvl="3" w:tplc="DC6E12D6" w:tentative="1">
      <w:start w:val="1"/>
      <w:numFmt w:val="bullet"/>
      <w:lvlText w:val="•"/>
      <w:lvlJc w:val="left"/>
      <w:pPr>
        <w:tabs>
          <w:tab w:val="num" w:pos="2880"/>
        </w:tabs>
        <w:ind w:left="2880" w:hanging="360"/>
      </w:pPr>
      <w:rPr>
        <w:rFonts w:ascii="Times New Roman" w:hAnsi="Times New Roman" w:hint="default"/>
      </w:rPr>
    </w:lvl>
    <w:lvl w:ilvl="4" w:tplc="FD56836E" w:tentative="1">
      <w:start w:val="1"/>
      <w:numFmt w:val="bullet"/>
      <w:lvlText w:val="•"/>
      <w:lvlJc w:val="left"/>
      <w:pPr>
        <w:tabs>
          <w:tab w:val="num" w:pos="3600"/>
        </w:tabs>
        <w:ind w:left="3600" w:hanging="360"/>
      </w:pPr>
      <w:rPr>
        <w:rFonts w:ascii="Times New Roman" w:hAnsi="Times New Roman" w:hint="default"/>
      </w:rPr>
    </w:lvl>
    <w:lvl w:ilvl="5" w:tplc="9CEA2B3A" w:tentative="1">
      <w:start w:val="1"/>
      <w:numFmt w:val="bullet"/>
      <w:lvlText w:val="•"/>
      <w:lvlJc w:val="left"/>
      <w:pPr>
        <w:tabs>
          <w:tab w:val="num" w:pos="4320"/>
        </w:tabs>
        <w:ind w:left="4320" w:hanging="360"/>
      </w:pPr>
      <w:rPr>
        <w:rFonts w:ascii="Times New Roman" w:hAnsi="Times New Roman" w:hint="default"/>
      </w:rPr>
    </w:lvl>
    <w:lvl w:ilvl="6" w:tplc="BF247B5E" w:tentative="1">
      <w:start w:val="1"/>
      <w:numFmt w:val="bullet"/>
      <w:lvlText w:val="•"/>
      <w:lvlJc w:val="left"/>
      <w:pPr>
        <w:tabs>
          <w:tab w:val="num" w:pos="5040"/>
        </w:tabs>
        <w:ind w:left="5040" w:hanging="360"/>
      </w:pPr>
      <w:rPr>
        <w:rFonts w:ascii="Times New Roman" w:hAnsi="Times New Roman" w:hint="default"/>
      </w:rPr>
    </w:lvl>
    <w:lvl w:ilvl="7" w:tplc="4EC698B0" w:tentative="1">
      <w:start w:val="1"/>
      <w:numFmt w:val="bullet"/>
      <w:lvlText w:val="•"/>
      <w:lvlJc w:val="left"/>
      <w:pPr>
        <w:tabs>
          <w:tab w:val="num" w:pos="5760"/>
        </w:tabs>
        <w:ind w:left="5760" w:hanging="360"/>
      </w:pPr>
      <w:rPr>
        <w:rFonts w:ascii="Times New Roman" w:hAnsi="Times New Roman" w:hint="default"/>
      </w:rPr>
    </w:lvl>
    <w:lvl w:ilvl="8" w:tplc="0D2491E0"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5EC6E86"/>
    <w:multiLevelType w:val="multilevel"/>
    <w:tmpl w:val="A12805AC"/>
    <w:lvl w:ilvl="0">
      <w:start w:val="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0A7E69"/>
    <w:multiLevelType w:val="hybridMultilevel"/>
    <w:tmpl w:val="893C2F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5375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8AE0121"/>
    <w:multiLevelType w:val="multilevel"/>
    <w:tmpl w:val="DEE6D990"/>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3" w15:restartNumberingAfterBreak="0">
    <w:nsid w:val="79C84EE8"/>
    <w:multiLevelType w:val="multilevel"/>
    <w:tmpl w:val="CB4252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4" w15:restartNumberingAfterBreak="0">
    <w:nsid w:val="7D9E5874"/>
    <w:multiLevelType w:val="multilevel"/>
    <w:tmpl w:val="30F6D6E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2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2"/>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4"/>
  </w:num>
  <w:num w:numId="2">
    <w:abstractNumId w:val="27"/>
  </w:num>
  <w:num w:numId="3">
    <w:abstractNumId w:val="42"/>
  </w:num>
  <w:num w:numId="4">
    <w:abstractNumId w:val="43"/>
  </w:num>
  <w:num w:numId="5">
    <w:abstractNumId w:val="23"/>
  </w:num>
  <w:num w:numId="6">
    <w:abstractNumId w:val="20"/>
  </w:num>
  <w:num w:numId="7">
    <w:abstractNumId w:val="13"/>
  </w:num>
  <w:num w:numId="8">
    <w:abstractNumId w:val="18"/>
  </w:num>
  <w:num w:numId="9">
    <w:abstractNumId w:val="24"/>
  </w:num>
  <w:num w:numId="10">
    <w:abstractNumId w:val="31"/>
  </w:num>
  <w:num w:numId="11">
    <w:abstractNumId w:val="41"/>
  </w:num>
  <w:num w:numId="12">
    <w:abstractNumId w:val="12"/>
  </w:num>
  <w:num w:numId="13">
    <w:abstractNumId w:val="34"/>
  </w:num>
  <w:num w:numId="14">
    <w:abstractNumId w:val="15"/>
  </w:num>
  <w:num w:numId="15">
    <w:abstractNumId w:val="22"/>
  </w:num>
  <w:num w:numId="16">
    <w:abstractNumId w:val="37"/>
  </w:num>
  <w:num w:numId="17">
    <w:abstractNumId w:val="32"/>
  </w:num>
  <w:num w:numId="18">
    <w:abstractNumId w:val="35"/>
  </w:num>
  <w:num w:numId="19">
    <w:abstractNumId w:val="33"/>
  </w:num>
  <w:num w:numId="20">
    <w:abstractNumId w:val="38"/>
  </w:num>
  <w:num w:numId="21">
    <w:abstractNumId w:val="36"/>
  </w:num>
  <w:num w:numId="22">
    <w:abstractNumId w:val="25"/>
  </w:num>
  <w:num w:numId="23">
    <w:abstractNumId w:val="11"/>
  </w:num>
  <w:num w:numId="24">
    <w:abstractNumId w:val="29"/>
  </w:num>
  <w:num w:numId="25">
    <w:abstractNumId w:val="19"/>
  </w:num>
  <w:num w:numId="26">
    <w:abstractNumId w:val="40"/>
  </w:num>
  <w:num w:numId="27">
    <w:abstractNumId w:val="28"/>
  </w:num>
  <w:num w:numId="28">
    <w:abstractNumId w:val="21"/>
  </w:num>
  <w:num w:numId="29">
    <w:abstractNumId w:val="10"/>
  </w:num>
  <w:num w:numId="30">
    <w:abstractNumId w:val="16"/>
  </w:num>
  <w:num w:numId="31">
    <w:abstractNumId w:val="17"/>
  </w:num>
  <w:num w:numId="32">
    <w:abstractNumId w:val="26"/>
  </w:num>
  <w:num w:numId="33">
    <w:abstractNumId w:val="39"/>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30"/>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3c4q4TpFXbboba8leBFvB1VjSCS0NUeP+Uf4KVOU76r/dRZ9+/kQfAXjNinaarQD5RX7APLl5koi54oX/R4Ufw==" w:salt="0FkBSTfc7wFIa1Tr0Cew/w=="/>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EFEDStyl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0xer2w2o0xwx3e0a0tx0sz3zradttw529er&quot;&gt;Trina2019all&lt;record-ids&gt;&lt;item&gt;591&lt;/item&gt;&lt;/record-ids&gt;&lt;/item&gt;&lt;/Libraries&gt;"/>
  </w:docVars>
  <w:rsids>
    <w:rsidRoot w:val="00602F72"/>
    <w:rsid w:val="00000002"/>
    <w:rsid w:val="0000079B"/>
    <w:rsid w:val="00000BBE"/>
    <w:rsid w:val="0000237F"/>
    <w:rsid w:val="00003123"/>
    <w:rsid w:val="00003E8C"/>
    <w:rsid w:val="000064E8"/>
    <w:rsid w:val="00012C5F"/>
    <w:rsid w:val="00013C34"/>
    <w:rsid w:val="00015192"/>
    <w:rsid w:val="000153FA"/>
    <w:rsid w:val="0001597D"/>
    <w:rsid w:val="00016BCE"/>
    <w:rsid w:val="00017B24"/>
    <w:rsid w:val="00017DA2"/>
    <w:rsid w:val="00021AC4"/>
    <w:rsid w:val="00022445"/>
    <w:rsid w:val="00023DE3"/>
    <w:rsid w:val="000242A7"/>
    <w:rsid w:val="000249B0"/>
    <w:rsid w:val="00025676"/>
    <w:rsid w:val="00026069"/>
    <w:rsid w:val="00026814"/>
    <w:rsid w:val="0003071F"/>
    <w:rsid w:val="000323AD"/>
    <w:rsid w:val="000327C6"/>
    <w:rsid w:val="00032883"/>
    <w:rsid w:val="00034082"/>
    <w:rsid w:val="0003490F"/>
    <w:rsid w:val="000358BC"/>
    <w:rsid w:val="0003639D"/>
    <w:rsid w:val="000368D7"/>
    <w:rsid w:val="00036A81"/>
    <w:rsid w:val="00036CC5"/>
    <w:rsid w:val="00036FB5"/>
    <w:rsid w:val="000374CE"/>
    <w:rsid w:val="00037620"/>
    <w:rsid w:val="0004219C"/>
    <w:rsid w:val="00043FFF"/>
    <w:rsid w:val="00046238"/>
    <w:rsid w:val="00050190"/>
    <w:rsid w:val="00051FEB"/>
    <w:rsid w:val="000522B8"/>
    <w:rsid w:val="000533D5"/>
    <w:rsid w:val="00053955"/>
    <w:rsid w:val="000547AD"/>
    <w:rsid w:val="00054B5C"/>
    <w:rsid w:val="0005567F"/>
    <w:rsid w:val="00056414"/>
    <w:rsid w:val="000567AE"/>
    <w:rsid w:val="000572AC"/>
    <w:rsid w:val="0006117C"/>
    <w:rsid w:val="00061C20"/>
    <w:rsid w:val="00062113"/>
    <w:rsid w:val="000626FD"/>
    <w:rsid w:val="00063E16"/>
    <w:rsid w:val="00064C38"/>
    <w:rsid w:val="00065706"/>
    <w:rsid w:val="0006633E"/>
    <w:rsid w:val="0006676C"/>
    <w:rsid w:val="00070360"/>
    <w:rsid w:val="00070D44"/>
    <w:rsid w:val="000724C7"/>
    <w:rsid w:val="00073419"/>
    <w:rsid w:val="00076548"/>
    <w:rsid w:val="00077943"/>
    <w:rsid w:val="00077C0C"/>
    <w:rsid w:val="00081D7A"/>
    <w:rsid w:val="0008217F"/>
    <w:rsid w:val="00083179"/>
    <w:rsid w:val="00084412"/>
    <w:rsid w:val="000848C1"/>
    <w:rsid w:val="00084EF6"/>
    <w:rsid w:val="00085CD6"/>
    <w:rsid w:val="00085E9D"/>
    <w:rsid w:val="00085EC6"/>
    <w:rsid w:val="00086454"/>
    <w:rsid w:val="00086996"/>
    <w:rsid w:val="00090101"/>
    <w:rsid w:val="0009020B"/>
    <w:rsid w:val="00090987"/>
    <w:rsid w:val="0009182A"/>
    <w:rsid w:val="00092DA3"/>
    <w:rsid w:val="0009487B"/>
    <w:rsid w:val="000951CC"/>
    <w:rsid w:val="000954E6"/>
    <w:rsid w:val="00096DC0"/>
    <w:rsid w:val="0009713D"/>
    <w:rsid w:val="00097991"/>
    <w:rsid w:val="00097A34"/>
    <w:rsid w:val="000A2B52"/>
    <w:rsid w:val="000A3282"/>
    <w:rsid w:val="000A4575"/>
    <w:rsid w:val="000A5870"/>
    <w:rsid w:val="000A7359"/>
    <w:rsid w:val="000B08D2"/>
    <w:rsid w:val="000B0CBE"/>
    <w:rsid w:val="000B21CD"/>
    <w:rsid w:val="000B329D"/>
    <w:rsid w:val="000B630E"/>
    <w:rsid w:val="000B6593"/>
    <w:rsid w:val="000B7698"/>
    <w:rsid w:val="000C0064"/>
    <w:rsid w:val="000C3106"/>
    <w:rsid w:val="000C5AEF"/>
    <w:rsid w:val="000C79E7"/>
    <w:rsid w:val="000C7FC4"/>
    <w:rsid w:val="000D0582"/>
    <w:rsid w:val="000D08EB"/>
    <w:rsid w:val="000D135E"/>
    <w:rsid w:val="000D2AD8"/>
    <w:rsid w:val="000D396B"/>
    <w:rsid w:val="000D4DEB"/>
    <w:rsid w:val="000D595C"/>
    <w:rsid w:val="000D5B94"/>
    <w:rsid w:val="000D69E7"/>
    <w:rsid w:val="000D75BF"/>
    <w:rsid w:val="000D7F5A"/>
    <w:rsid w:val="000E0BEC"/>
    <w:rsid w:val="000E10B8"/>
    <w:rsid w:val="000E30C0"/>
    <w:rsid w:val="000E376B"/>
    <w:rsid w:val="000E507A"/>
    <w:rsid w:val="000E6A1D"/>
    <w:rsid w:val="000E6F03"/>
    <w:rsid w:val="000F152B"/>
    <w:rsid w:val="000F276E"/>
    <w:rsid w:val="000F2A55"/>
    <w:rsid w:val="000F42A0"/>
    <w:rsid w:val="000F53E9"/>
    <w:rsid w:val="000F5C0C"/>
    <w:rsid w:val="000F66DA"/>
    <w:rsid w:val="000F6A75"/>
    <w:rsid w:val="000F7400"/>
    <w:rsid w:val="000F7AB0"/>
    <w:rsid w:val="000F7CB9"/>
    <w:rsid w:val="000F7E50"/>
    <w:rsid w:val="00100CC7"/>
    <w:rsid w:val="00103C83"/>
    <w:rsid w:val="00104039"/>
    <w:rsid w:val="001042A4"/>
    <w:rsid w:val="0010697A"/>
    <w:rsid w:val="00106B5C"/>
    <w:rsid w:val="00110808"/>
    <w:rsid w:val="0011187A"/>
    <w:rsid w:val="00113C29"/>
    <w:rsid w:val="00113D0A"/>
    <w:rsid w:val="00115CB1"/>
    <w:rsid w:val="00116523"/>
    <w:rsid w:val="00117522"/>
    <w:rsid w:val="00117DDD"/>
    <w:rsid w:val="00120311"/>
    <w:rsid w:val="001206ED"/>
    <w:rsid w:val="00122159"/>
    <w:rsid w:val="001232A1"/>
    <w:rsid w:val="0012410B"/>
    <w:rsid w:val="00125006"/>
    <w:rsid w:val="0012527A"/>
    <w:rsid w:val="00126EB9"/>
    <w:rsid w:val="0012704D"/>
    <w:rsid w:val="00131E4E"/>
    <w:rsid w:val="00132552"/>
    <w:rsid w:val="001325C2"/>
    <w:rsid w:val="00133011"/>
    <w:rsid w:val="001335FD"/>
    <w:rsid w:val="001359AD"/>
    <w:rsid w:val="00140B47"/>
    <w:rsid w:val="00140B8A"/>
    <w:rsid w:val="0014136A"/>
    <w:rsid w:val="00141DC1"/>
    <w:rsid w:val="001431E4"/>
    <w:rsid w:val="00143EB3"/>
    <w:rsid w:val="00145D2C"/>
    <w:rsid w:val="00145E94"/>
    <w:rsid w:val="001476D7"/>
    <w:rsid w:val="001477E7"/>
    <w:rsid w:val="001511FE"/>
    <w:rsid w:val="00151479"/>
    <w:rsid w:val="001561C2"/>
    <w:rsid w:val="00156376"/>
    <w:rsid w:val="0015686B"/>
    <w:rsid w:val="00156A93"/>
    <w:rsid w:val="00160866"/>
    <w:rsid w:val="00160D8F"/>
    <w:rsid w:val="001632BF"/>
    <w:rsid w:val="0016360C"/>
    <w:rsid w:val="00165122"/>
    <w:rsid w:val="00165ECD"/>
    <w:rsid w:val="0016742C"/>
    <w:rsid w:val="001702D1"/>
    <w:rsid w:val="001703AF"/>
    <w:rsid w:val="00170AD2"/>
    <w:rsid w:val="00171148"/>
    <w:rsid w:val="00172611"/>
    <w:rsid w:val="00173A94"/>
    <w:rsid w:val="0017444E"/>
    <w:rsid w:val="00175A33"/>
    <w:rsid w:val="00175CCB"/>
    <w:rsid w:val="001777F2"/>
    <w:rsid w:val="00181323"/>
    <w:rsid w:val="00182F19"/>
    <w:rsid w:val="0018353D"/>
    <w:rsid w:val="00183867"/>
    <w:rsid w:val="00183C5E"/>
    <w:rsid w:val="00184A76"/>
    <w:rsid w:val="0018525F"/>
    <w:rsid w:val="00185923"/>
    <w:rsid w:val="00185F74"/>
    <w:rsid w:val="00186036"/>
    <w:rsid w:val="0018638A"/>
    <w:rsid w:val="001867B7"/>
    <w:rsid w:val="00187C8A"/>
    <w:rsid w:val="00192033"/>
    <w:rsid w:val="00192333"/>
    <w:rsid w:val="001929FF"/>
    <w:rsid w:val="00192A30"/>
    <w:rsid w:val="0019359E"/>
    <w:rsid w:val="001944FF"/>
    <w:rsid w:val="00195E3D"/>
    <w:rsid w:val="00195F7E"/>
    <w:rsid w:val="00197011"/>
    <w:rsid w:val="001A2119"/>
    <w:rsid w:val="001A2DBC"/>
    <w:rsid w:val="001A4E62"/>
    <w:rsid w:val="001B0E51"/>
    <w:rsid w:val="001B113E"/>
    <w:rsid w:val="001B1D79"/>
    <w:rsid w:val="001B353D"/>
    <w:rsid w:val="001B7671"/>
    <w:rsid w:val="001C14E8"/>
    <w:rsid w:val="001C1EA6"/>
    <w:rsid w:val="001C21AE"/>
    <w:rsid w:val="001C22E6"/>
    <w:rsid w:val="001C3617"/>
    <w:rsid w:val="001C48BF"/>
    <w:rsid w:val="001C7229"/>
    <w:rsid w:val="001C7BC8"/>
    <w:rsid w:val="001C7BDA"/>
    <w:rsid w:val="001D26C4"/>
    <w:rsid w:val="001D36F6"/>
    <w:rsid w:val="001D4A44"/>
    <w:rsid w:val="001D4B8E"/>
    <w:rsid w:val="001E07FA"/>
    <w:rsid w:val="001E1187"/>
    <w:rsid w:val="001E47F5"/>
    <w:rsid w:val="001E503E"/>
    <w:rsid w:val="001E54F7"/>
    <w:rsid w:val="001E5690"/>
    <w:rsid w:val="001E6497"/>
    <w:rsid w:val="001E67D2"/>
    <w:rsid w:val="001E75BE"/>
    <w:rsid w:val="001F0155"/>
    <w:rsid w:val="001F1603"/>
    <w:rsid w:val="001F1DBE"/>
    <w:rsid w:val="001F288A"/>
    <w:rsid w:val="001F3A05"/>
    <w:rsid w:val="001F4D44"/>
    <w:rsid w:val="001F6584"/>
    <w:rsid w:val="001F68D7"/>
    <w:rsid w:val="001F736A"/>
    <w:rsid w:val="0020280A"/>
    <w:rsid w:val="00203ECB"/>
    <w:rsid w:val="002042B2"/>
    <w:rsid w:val="00204AB1"/>
    <w:rsid w:val="00205678"/>
    <w:rsid w:val="00206F3B"/>
    <w:rsid w:val="0020739C"/>
    <w:rsid w:val="002105FB"/>
    <w:rsid w:val="0021195E"/>
    <w:rsid w:val="00211E1F"/>
    <w:rsid w:val="00213677"/>
    <w:rsid w:val="00214C1E"/>
    <w:rsid w:val="002156ED"/>
    <w:rsid w:val="00215E63"/>
    <w:rsid w:val="00216095"/>
    <w:rsid w:val="002211BC"/>
    <w:rsid w:val="00221F15"/>
    <w:rsid w:val="00222500"/>
    <w:rsid w:val="00223803"/>
    <w:rsid w:val="00223EBA"/>
    <w:rsid w:val="0022669B"/>
    <w:rsid w:val="002308C2"/>
    <w:rsid w:val="00230F35"/>
    <w:rsid w:val="00231DE3"/>
    <w:rsid w:val="0023418B"/>
    <w:rsid w:val="00235122"/>
    <w:rsid w:val="00236813"/>
    <w:rsid w:val="002375E7"/>
    <w:rsid w:val="00244C12"/>
    <w:rsid w:val="00246F72"/>
    <w:rsid w:val="00250D63"/>
    <w:rsid w:val="00250F61"/>
    <w:rsid w:val="00254D1B"/>
    <w:rsid w:val="00255352"/>
    <w:rsid w:val="002564FB"/>
    <w:rsid w:val="00260E32"/>
    <w:rsid w:val="00261596"/>
    <w:rsid w:val="002616DC"/>
    <w:rsid w:val="00262FB9"/>
    <w:rsid w:val="002664B7"/>
    <w:rsid w:val="0026742A"/>
    <w:rsid w:val="00267D50"/>
    <w:rsid w:val="002715D6"/>
    <w:rsid w:val="00272058"/>
    <w:rsid w:val="00272280"/>
    <w:rsid w:val="00273E2E"/>
    <w:rsid w:val="002742F7"/>
    <w:rsid w:val="00276CAE"/>
    <w:rsid w:val="00280F4A"/>
    <w:rsid w:val="00281910"/>
    <w:rsid w:val="00282423"/>
    <w:rsid w:val="00283486"/>
    <w:rsid w:val="00283D91"/>
    <w:rsid w:val="002866E9"/>
    <w:rsid w:val="00290459"/>
    <w:rsid w:val="00293317"/>
    <w:rsid w:val="00293800"/>
    <w:rsid w:val="00293D8D"/>
    <w:rsid w:val="00294274"/>
    <w:rsid w:val="002944E4"/>
    <w:rsid w:val="00295248"/>
    <w:rsid w:val="00295B09"/>
    <w:rsid w:val="002965A5"/>
    <w:rsid w:val="00296676"/>
    <w:rsid w:val="00297883"/>
    <w:rsid w:val="002A0740"/>
    <w:rsid w:val="002A23DD"/>
    <w:rsid w:val="002A3507"/>
    <w:rsid w:val="002A4E80"/>
    <w:rsid w:val="002A4FBB"/>
    <w:rsid w:val="002A6051"/>
    <w:rsid w:val="002B134C"/>
    <w:rsid w:val="002B14CB"/>
    <w:rsid w:val="002B2501"/>
    <w:rsid w:val="002B27D9"/>
    <w:rsid w:val="002B438A"/>
    <w:rsid w:val="002B562D"/>
    <w:rsid w:val="002C0853"/>
    <w:rsid w:val="002C1494"/>
    <w:rsid w:val="002C299D"/>
    <w:rsid w:val="002C29BA"/>
    <w:rsid w:val="002C2ADF"/>
    <w:rsid w:val="002C3157"/>
    <w:rsid w:val="002C58B0"/>
    <w:rsid w:val="002C5F5C"/>
    <w:rsid w:val="002C6718"/>
    <w:rsid w:val="002C7B71"/>
    <w:rsid w:val="002C7C89"/>
    <w:rsid w:val="002D4EAB"/>
    <w:rsid w:val="002D572A"/>
    <w:rsid w:val="002D613E"/>
    <w:rsid w:val="002D784A"/>
    <w:rsid w:val="002E068F"/>
    <w:rsid w:val="002E0757"/>
    <w:rsid w:val="002E1058"/>
    <w:rsid w:val="002E22E8"/>
    <w:rsid w:val="002E3018"/>
    <w:rsid w:val="002E64DF"/>
    <w:rsid w:val="002F37D1"/>
    <w:rsid w:val="002F7D50"/>
    <w:rsid w:val="00302188"/>
    <w:rsid w:val="003031AB"/>
    <w:rsid w:val="00304198"/>
    <w:rsid w:val="0030632A"/>
    <w:rsid w:val="00307350"/>
    <w:rsid w:val="00311972"/>
    <w:rsid w:val="00315AD0"/>
    <w:rsid w:val="00316185"/>
    <w:rsid w:val="0031648D"/>
    <w:rsid w:val="00316CFE"/>
    <w:rsid w:val="003172F1"/>
    <w:rsid w:val="00320DCF"/>
    <w:rsid w:val="00322022"/>
    <w:rsid w:val="003225D4"/>
    <w:rsid w:val="00323808"/>
    <w:rsid w:val="00323C3F"/>
    <w:rsid w:val="00333177"/>
    <w:rsid w:val="00333BBD"/>
    <w:rsid w:val="00335275"/>
    <w:rsid w:val="00340455"/>
    <w:rsid w:val="0034242F"/>
    <w:rsid w:val="003434D4"/>
    <w:rsid w:val="003436F9"/>
    <w:rsid w:val="00343FF4"/>
    <w:rsid w:val="00344371"/>
    <w:rsid w:val="003454CE"/>
    <w:rsid w:val="0034584F"/>
    <w:rsid w:val="00346EA0"/>
    <w:rsid w:val="00350994"/>
    <w:rsid w:val="00351F61"/>
    <w:rsid w:val="00353049"/>
    <w:rsid w:val="00355E20"/>
    <w:rsid w:val="00356B2D"/>
    <w:rsid w:val="00360855"/>
    <w:rsid w:val="003609CC"/>
    <w:rsid w:val="0036429E"/>
    <w:rsid w:val="003666C8"/>
    <w:rsid w:val="003670D3"/>
    <w:rsid w:val="003671E6"/>
    <w:rsid w:val="00367329"/>
    <w:rsid w:val="00370AAB"/>
    <w:rsid w:val="00370B3B"/>
    <w:rsid w:val="00370B93"/>
    <w:rsid w:val="00372E3F"/>
    <w:rsid w:val="0037395B"/>
    <w:rsid w:val="00374AF2"/>
    <w:rsid w:val="00375FD1"/>
    <w:rsid w:val="003805C2"/>
    <w:rsid w:val="00380EBD"/>
    <w:rsid w:val="003831C3"/>
    <w:rsid w:val="00383556"/>
    <w:rsid w:val="00383B3C"/>
    <w:rsid w:val="00384476"/>
    <w:rsid w:val="00384AE0"/>
    <w:rsid w:val="00385703"/>
    <w:rsid w:val="00385FB9"/>
    <w:rsid w:val="00386144"/>
    <w:rsid w:val="00387A73"/>
    <w:rsid w:val="00387D1D"/>
    <w:rsid w:val="0039104D"/>
    <w:rsid w:val="003910B5"/>
    <w:rsid w:val="0039115B"/>
    <w:rsid w:val="00392303"/>
    <w:rsid w:val="00392A03"/>
    <w:rsid w:val="00393048"/>
    <w:rsid w:val="00393BA1"/>
    <w:rsid w:val="003942FA"/>
    <w:rsid w:val="00394C89"/>
    <w:rsid w:val="00395318"/>
    <w:rsid w:val="003972F0"/>
    <w:rsid w:val="00397850"/>
    <w:rsid w:val="003A1191"/>
    <w:rsid w:val="003A6263"/>
    <w:rsid w:val="003A72AD"/>
    <w:rsid w:val="003B1C1D"/>
    <w:rsid w:val="003B1E8E"/>
    <w:rsid w:val="003B6DF8"/>
    <w:rsid w:val="003B7163"/>
    <w:rsid w:val="003B7DC1"/>
    <w:rsid w:val="003C0733"/>
    <w:rsid w:val="003C09F4"/>
    <w:rsid w:val="003C3D62"/>
    <w:rsid w:val="003C438B"/>
    <w:rsid w:val="003C4A6E"/>
    <w:rsid w:val="003C5006"/>
    <w:rsid w:val="003C56CB"/>
    <w:rsid w:val="003C753E"/>
    <w:rsid w:val="003D0359"/>
    <w:rsid w:val="003D1A1F"/>
    <w:rsid w:val="003D3B9C"/>
    <w:rsid w:val="003D7CD1"/>
    <w:rsid w:val="003E044B"/>
    <w:rsid w:val="003E0BE8"/>
    <w:rsid w:val="003E0C0F"/>
    <w:rsid w:val="003E1D42"/>
    <w:rsid w:val="003E1D4F"/>
    <w:rsid w:val="003E2D17"/>
    <w:rsid w:val="003E40E0"/>
    <w:rsid w:val="003E4385"/>
    <w:rsid w:val="003E755C"/>
    <w:rsid w:val="003E7682"/>
    <w:rsid w:val="003E7B01"/>
    <w:rsid w:val="003F02C3"/>
    <w:rsid w:val="003F0BA7"/>
    <w:rsid w:val="003F14EE"/>
    <w:rsid w:val="003F1C9C"/>
    <w:rsid w:val="003F3542"/>
    <w:rsid w:val="003F368E"/>
    <w:rsid w:val="003F3D48"/>
    <w:rsid w:val="003F78BE"/>
    <w:rsid w:val="004009A5"/>
    <w:rsid w:val="00402186"/>
    <w:rsid w:val="00405C57"/>
    <w:rsid w:val="0041076F"/>
    <w:rsid w:val="00412B85"/>
    <w:rsid w:val="00414D72"/>
    <w:rsid w:val="0041543F"/>
    <w:rsid w:val="0041678E"/>
    <w:rsid w:val="00416E33"/>
    <w:rsid w:val="00417DCA"/>
    <w:rsid w:val="00422A25"/>
    <w:rsid w:val="00422DC7"/>
    <w:rsid w:val="00423230"/>
    <w:rsid w:val="00424B81"/>
    <w:rsid w:val="004263E1"/>
    <w:rsid w:val="0042771C"/>
    <w:rsid w:val="00427DEC"/>
    <w:rsid w:val="00430622"/>
    <w:rsid w:val="004308F7"/>
    <w:rsid w:val="004374BE"/>
    <w:rsid w:val="00437518"/>
    <w:rsid w:val="0044364D"/>
    <w:rsid w:val="00443A3F"/>
    <w:rsid w:val="00443BCF"/>
    <w:rsid w:val="00446275"/>
    <w:rsid w:val="00446350"/>
    <w:rsid w:val="00447E4D"/>
    <w:rsid w:val="00450B29"/>
    <w:rsid w:val="00452BB9"/>
    <w:rsid w:val="004558CF"/>
    <w:rsid w:val="00455B86"/>
    <w:rsid w:val="00455F8F"/>
    <w:rsid w:val="00456F90"/>
    <w:rsid w:val="00457082"/>
    <w:rsid w:val="00457801"/>
    <w:rsid w:val="00461336"/>
    <w:rsid w:val="004624C3"/>
    <w:rsid w:val="0046363D"/>
    <w:rsid w:val="00464EF6"/>
    <w:rsid w:val="00464FEF"/>
    <w:rsid w:val="00465041"/>
    <w:rsid w:val="004650F1"/>
    <w:rsid w:val="00465668"/>
    <w:rsid w:val="00465FF1"/>
    <w:rsid w:val="00466880"/>
    <w:rsid w:val="0047113E"/>
    <w:rsid w:val="00471314"/>
    <w:rsid w:val="00471983"/>
    <w:rsid w:val="00471A13"/>
    <w:rsid w:val="004726B6"/>
    <w:rsid w:val="00472A37"/>
    <w:rsid w:val="00472B01"/>
    <w:rsid w:val="00474445"/>
    <w:rsid w:val="004759B8"/>
    <w:rsid w:val="004765BA"/>
    <w:rsid w:val="0048177C"/>
    <w:rsid w:val="004826CD"/>
    <w:rsid w:val="004833FA"/>
    <w:rsid w:val="004852B0"/>
    <w:rsid w:val="00485F21"/>
    <w:rsid w:val="00487E89"/>
    <w:rsid w:val="00491034"/>
    <w:rsid w:val="00492DE1"/>
    <w:rsid w:val="00493F39"/>
    <w:rsid w:val="004976EB"/>
    <w:rsid w:val="00497A03"/>
    <w:rsid w:val="004A1CD4"/>
    <w:rsid w:val="004A1F8D"/>
    <w:rsid w:val="004A3EDF"/>
    <w:rsid w:val="004A4170"/>
    <w:rsid w:val="004A5A99"/>
    <w:rsid w:val="004A6414"/>
    <w:rsid w:val="004A6E6E"/>
    <w:rsid w:val="004A7450"/>
    <w:rsid w:val="004A77A8"/>
    <w:rsid w:val="004A7A80"/>
    <w:rsid w:val="004B0612"/>
    <w:rsid w:val="004B079E"/>
    <w:rsid w:val="004B1681"/>
    <w:rsid w:val="004B1D84"/>
    <w:rsid w:val="004B1DA2"/>
    <w:rsid w:val="004B24CD"/>
    <w:rsid w:val="004B2D83"/>
    <w:rsid w:val="004B3715"/>
    <w:rsid w:val="004B3BAC"/>
    <w:rsid w:val="004B3BF1"/>
    <w:rsid w:val="004B3D17"/>
    <w:rsid w:val="004B4CC2"/>
    <w:rsid w:val="004B5804"/>
    <w:rsid w:val="004B62BA"/>
    <w:rsid w:val="004C029C"/>
    <w:rsid w:val="004C11F5"/>
    <w:rsid w:val="004C1C35"/>
    <w:rsid w:val="004C1E55"/>
    <w:rsid w:val="004C3074"/>
    <w:rsid w:val="004C3C2A"/>
    <w:rsid w:val="004C528C"/>
    <w:rsid w:val="004C765C"/>
    <w:rsid w:val="004C7D93"/>
    <w:rsid w:val="004D0C63"/>
    <w:rsid w:val="004D1067"/>
    <w:rsid w:val="004D1322"/>
    <w:rsid w:val="004D166F"/>
    <w:rsid w:val="004D2EE5"/>
    <w:rsid w:val="004D438F"/>
    <w:rsid w:val="004D46C7"/>
    <w:rsid w:val="004D4BD0"/>
    <w:rsid w:val="004D5183"/>
    <w:rsid w:val="004D729E"/>
    <w:rsid w:val="004E02AC"/>
    <w:rsid w:val="004E3246"/>
    <w:rsid w:val="004E40EA"/>
    <w:rsid w:val="004E5ABE"/>
    <w:rsid w:val="004E7332"/>
    <w:rsid w:val="004F0991"/>
    <w:rsid w:val="004F3AF8"/>
    <w:rsid w:val="004F482F"/>
    <w:rsid w:val="004F48FF"/>
    <w:rsid w:val="004F60F5"/>
    <w:rsid w:val="004F6473"/>
    <w:rsid w:val="004F6EFA"/>
    <w:rsid w:val="004F723F"/>
    <w:rsid w:val="00500D6B"/>
    <w:rsid w:val="00501A00"/>
    <w:rsid w:val="00502EBD"/>
    <w:rsid w:val="00503326"/>
    <w:rsid w:val="00505CE1"/>
    <w:rsid w:val="00506C2E"/>
    <w:rsid w:val="005071F4"/>
    <w:rsid w:val="00510B17"/>
    <w:rsid w:val="00511620"/>
    <w:rsid w:val="00512056"/>
    <w:rsid w:val="00512A06"/>
    <w:rsid w:val="00513740"/>
    <w:rsid w:val="005140CC"/>
    <w:rsid w:val="005167A4"/>
    <w:rsid w:val="00516FFD"/>
    <w:rsid w:val="0052205D"/>
    <w:rsid w:val="00522CF9"/>
    <w:rsid w:val="005238DC"/>
    <w:rsid w:val="00525856"/>
    <w:rsid w:val="00525D24"/>
    <w:rsid w:val="00526FF6"/>
    <w:rsid w:val="00531573"/>
    <w:rsid w:val="00532295"/>
    <w:rsid w:val="00532320"/>
    <w:rsid w:val="00536EC3"/>
    <w:rsid w:val="00537546"/>
    <w:rsid w:val="00540DE9"/>
    <w:rsid w:val="00540E65"/>
    <w:rsid w:val="00540F6B"/>
    <w:rsid w:val="00541A28"/>
    <w:rsid w:val="00541D78"/>
    <w:rsid w:val="00542519"/>
    <w:rsid w:val="00543DCA"/>
    <w:rsid w:val="00544043"/>
    <w:rsid w:val="005441C4"/>
    <w:rsid w:val="00545796"/>
    <w:rsid w:val="0054766C"/>
    <w:rsid w:val="00551A52"/>
    <w:rsid w:val="00552909"/>
    <w:rsid w:val="005542D7"/>
    <w:rsid w:val="0055509D"/>
    <w:rsid w:val="00555749"/>
    <w:rsid w:val="005561F3"/>
    <w:rsid w:val="00557FFE"/>
    <w:rsid w:val="00561376"/>
    <w:rsid w:val="0056194B"/>
    <w:rsid w:val="00561F69"/>
    <w:rsid w:val="00562DA4"/>
    <w:rsid w:val="00562DAA"/>
    <w:rsid w:val="0056308A"/>
    <w:rsid w:val="00567F3F"/>
    <w:rsid w:val="005708D3"/>
    <w:rsid w:val="00571393"/>
    <w:rsid w:val="00572C96"/>
    <w:rsid w:val="0057620C"/>
    <w:rsid w:val="00576B9E"/>
    <w:rsid w:val="005777AC"/>
    <w:rsid w:val="0058002A"/>
    <w:rsid w:val="00580323"/>
    <w:rsid w:val="0058032B"/>
    <w:rsid w:val="0058162A"/>
    <w:rsid w:val="005817F5"/>
    <w:rsid w:val="0058267A"/>
    <w:rsid w:val="00582B75"/>
    <w:rsid w:val="00583AEF"/>
    <w:rsid w:val="00583FB5"/>
    <w:rsid w:val="00585A77"/>
    <w:rsid w:val="00590215"/>
    <w:rsid w:val="005906CB"/>
    <w:rsid w:val="0059201F"/>
    <w:rsid w:val="00592AD1"/>
    <w:rsid w:val="0059590D"/>
    <w:rsid w:val="00596685"/>
    <w:rsid w:val="005969F1"/>
    <w:rsid w:val="00597601"/>
    <w:rsid w:val="00597608"/>
    <w:rsid w:val="005A075A"/>
    <w:rsid w:val="005A0C0E"/>
    <w:rsid w:val="005A2130"/>
    <w:rsid w:val="005A3707"/>
    <w:rsid w:val="005A5FD7"/>
    <w:rsid w:val="005A6714"/>
    <w:rsid w:val="005B00F1"/>
    <w:rsid w:val="005B10D5"/>
    <w:rsid w:val="005B19B1"/>
    <w:rsid w:val="005B4944"/>
    <w:rsid w:val="005B4CCB"/>
    <w:rsid w:val="005B55AD"/>
    <w:rsid w:val="005B73FC"/>
    <w:rsid w:val="005C132D"/>
    <w:rsid w:val="005C1782"/>
    <w:rsid w:val="005C1DCA"/>
    <w:rsid w:val="005C222E"/>
    <w:rsid w:val="005C2899"/>
    <w:rsid w:val="005C3B7C"/>
    <w:rsid w:val="005C4E28"/>
    <w:rsid w:val="005C5061"/>
    <w:rsid w:val="005C588C"/>
    <w:rsid w:val="005C58D7"/>
    <w:rsid w:val="005C7738"/>
    <w:rsid w:val="005D0979"/>
    <w:rsid w:val="005D1741"/>
    <w:rsid w:val="005D2008"/>
    <w:rsid w:val="005D3F5C"/>
    <w:rsid w:val="005D5C0E"/>
    <w:rsid w:val="005D5C46"/>
    <w:rsid w:val="005D6AD2"/>
    <w:rsid w:val="005D7313"/>
    <w:rsid w:val="005E320E"/>
    <w:rsid w:val="005E360F"/>
    <w:rsid w:val="005E7359"/>
    <w:rsid w:val="005F0157"/>
    <w:rsid w:val="005F0D91"/>
    <w:rsid w:val="005F3367"/>
    <w:rsid w:val="005F6091"/>
    <w:rsid w:val="005F6400"/>
    <w:rsid w:val="005F7AA6"/>
    <w:rsid w:val="00602F72"/>
    <w:rsid w:val="00603253"/>
    <w:rsid w:val="00603366"/>
    <w:rsid w:val="00605CD3"/>
    <w:rsid w:val="006071D2"/>
    <w:rsid w:val="006073F6"/>
    <w:rsid w:val="00607999"/>
    <w:rsid w:val="00610075"/>
    <w:rsid w:val="00610FB5"/>
    <w:rsid w:val="0061215F"/>
    <w:rsid w:val="00612369"/>
    <w:rsid w:val="00613375"/>
    <w:rsid w:val="0061503E"/>
    <w:rsid w:val="006150A0"/>
    <w:rsid w:val="0062075E"/>
    <w:rsid w:val="00622820"/>
    <w:rsid w:val="0062295F"/>
    <w:rsid w:val="006232FC"/>
    <w:rsid w:val="00624B3F"/>
    <w:rsid w:val="00626DEF"/>
    <w:rsid w:val="0062765F"/>
    <w:rsid w:val="00632C56"/>
    <w:rsid w:val="006338D8"/>
    <w:rsid w:val="006345BB"/>
    <w:rsid w:val="00634A7B"/>
    <w:rsid w:val="00635689"/>
    <w:rsid w:val="00636C5A"/>
    <w:rsid w:val="0063744A"/>
    <w:rsid w:val="00637B31"/>
    <w:rsid w:val="00640633"/>
    <w:rsid w:val="00641ED3"/>
    <w:rsid w:val="0064286F"/>
    <w:rsid w:val="006429A6"/>
    <w:rsid w:val="00642BC8"/>
    <w:rsid w:val="006434C4"/>
    <w:rsid w:val="00643CCA"/>
    <w:rsid w:val="00644CC5"/>
    <w:rsid w:val="00645056"/>
    <w:rsid w:val="00645DF2"/>
    <w:rsid w:val="00650A89"/>
    <w:rsid w:val="006533F7"/>
    <w:rsid w:val="006542F2"/>
    <w:rsid w:val="00654BD0"/>
    <w:rsid w:val="0065569D"/>
    <w:rsid w:val="0065796E"/>
    <w:rsid w:val="006612EE"/>
    <w:rsid w:val="00661D73"/>
    <w:rsid w:val="006620BD"/>
    <w:rsid w:val="0066252D"/>
    <w:rsid w:val="006646C2"/>
    <w:rsid w:val="006649AB"/>
    <w:rsid w:val="00665B6A"/>
    <w:rsid w:val="0066672F"/>
    <w:rsid w:val="00666D71"/>
    <w:rsid w:val="00667162"/>
    <w:rsid w:val="00670673"/>
    <w:rsid w:val="00670864"/>
    <w:rsid w:val="006715A7"/>
    <w:rsid w:val="00671669"/>
    <w:rsid w:val="006718AF"/>
    <w:rsid w:val="00672B60"/>
    <w:rsid w:val="006761E8"/>
    <w:rsid w:val="00676BDA"/>
    <w:rsid w:val="00681B9F"/>
    <w:rsid w:val="0068348B"/>
    <w:rsid w:val="00684B48"/>
    <w:rsid w:val="00684E8C"/>
    <w:rsid w:val="00684ED4"/>
    <w:rsid w:val="00685009"/>
    <w:rsid w:val="00685196"/>
    <w:rsid w:val="0068621B"/>
    <w:rsid w:val="00690D89"/>
    <w:rsid w:val="00690F93"/>
    <w:rsid w:val="00695C15"/>
    <w:rsid w:val="0069737C"/>
    <w:rsid w:val="006A0262"/>
    <w:rsid w:val="006A0A41"/>
    <w:rsid w:val="006A1E07"/>
    <w:rsid w:val="006A20B5"/>
    <w:rsid w:val="006A24D2"/>
    <w:rsid w:val="006A3B95"/>
    <w:rsid w:val="006A415D"/>
    <w:rsid w:val="006A580C"/>
    <w:rsid w:val="006A5FA5"/>
    <w:rsid w:val="006B2EE0"/>
    <w:rsid w:val="006B4DC7"/>
    <w:rsid w:val="006B5347"/>
    <w:rsid w:val="006B769D"/>
    <w:rsid w:val="006B799F"/>
    <w:rsid w:val="006C11A2"/>
    <w:rsid w:val="006C137C"/>
    <w:rsid w:val="006C1BA0"/>
    <w:rsid w:val="006C2543"/>
    <w:rsid w:val="006C2C80"/>
    <w:rsid w:val="006C3C6D"/>
    <w:rsid w:val="006C5178"/>
    <w:rsid w:val="006C6348"/>
    <w:rsid w:val="006C6BD0"/>
    <w:rsid w:val="006C7C35"/>
    <w:rsid w:val="006D1669"/>
    <w:rsid w:val="006D1D66"/>
    <w:rsid w:val="006D22C3"/>
    <w:rsid w:val="006D56EF"/>
    <w:rsid w:val="006D6152"/>
    <w:rsid w:val="006E1D0C"/>
    <w:rsid w:val="006E5A11"/>
    <w:rsid w:val="006E5D15"/>
    <w:rsid w:val="006E75BC"/>
    <w:rsid w:val="006F0168"/>
    <w:rsid w:val="006F01E1"/>
    <w:rsid w:val="006F0EA1"/>
    <w:rsid w:val="006F19C6"/>
    <w:rsid w:val="006F3D01"/>
    <w:rsid w:val="006F41EE"/>
    <w:rsid w:val="006F4CCE"/>
    <w:rsid w:val="006F745D"/>
    <w:rsid w:val="007019E5"/>
    <w:rsid w:val="0070260C"/>
    <w:rsid w:val="00705185"/>
    <w:rsid w:val="00706365"/>
    <w:rsid w:val="00706CBF"/>
    <w:rsid w:val="00710226"/>
    <w:rsid w:val="007114A4"/>
    <w:rsid w:val="007117D7"/>
    <w:rsid w:val="0071292A"/>
    <w:rsid w:val="00715625"/>
    <w:rsid w:val="00716B45"/>
    <w:rsid w:val="00717208"/>
    <w:rsid w:val="007179E6"/>
    <w:rsid w:val="00717C0B"/>
    <w:rsid w:val="007205DE"/>
    <w:rsid w:val="00720649"/>
    <w:rsid w:val="007208EA"/>
    <w:rsid w:val="00720939"/>
    <w:rsid w:val="00720B81"/>
    <w:rsid w:val="00721BA3"/>
    <w:rsid w:val="00721BCC"/>
    <w:rsid w:val="00721E5E"/>
    <w:rsid w:val="00723D43"/>
    <w:rsid w:val="00723E1F"/>
    <w:rsid w:val="00724396"/>
    <w:rsid w:val="0072587F"/>
    <w:rsid w:val="00726012"/>
    <w:rsid w:val="007275E8"/>
    <w:rsid w:val="00732CEB"/>
    <w:rsid w:val="007338C8"/>
    <w:rsid w:val="00735889"/>
    <w:rsid w:val="00736D57"/>
    <w:rsid w:val="00737D01"/>
    <w:rsid w:val="0074011E"/>
    <w:rsid w:val="00741528"/>
    <w:rsid w:val="00742D51"/>
    <w:rsid w:val="007430BE"/>
    <w:rsid w:val="00743FC8"/>
    <w:rsid w:val="00744E9D"/>
    <w:rsid w:val="00746C77"/>
    <w:rsid w:val="00747BA3"/>
    <w:rsid w:val="00750C1E"/>
    <w:rsid w:val="00751C5A"/>
    <w:rsid w:val="007527D3"/>
    <w:rsid w:val="00752F58"/>
    <w:rsid w:val="00754B06"/>
    <w:rsid w:val="00755490"/>
    <w:rsid w:val="00756102"/>
    <w:rsid w:val="00756ACC"/>
    <w:rsid w:val="00757831"/>
    <w:rsid w:val="00760A14"/>
    <w:rsid w:val="007622F5"/>
    <w:rsid w:val="00765325"/>
    <w:rsid w:val="00767BA4"/>
    <w:rsid w:val="0077014C"/>
    <w:rsid w:val="00773221"/>
    <w:rsid w:val="0077329C"/>
    <w:rsid w:val="00776055"/>
    <w:rsid w:val="00776FCE"/>
    <w:rsid w:val="00777023"/>
    <w:rsid w:val="00782235"/>
    <w:rsid w:val="0078239A"/>
    <w:rsid w:val="00782A6C"/>
    <w:rsid w:val="007847FB"/>
    <w:rsid w:val="0078640D"/>
    <w:rsid w:val="007869A2"/>
    <w:rsid w:val="00790DAB"/>
    <w:rsid w:val="00791256"/>
    <w:rsid w:val="00791A27"/>
    <w:rsid w:val="0079308E"/>
    <w:rsid w:val="007932B8"/>
    <w:rsid w:val="007934C7"/>
    <w:rsid w:val="007946DF"/>
    <w:rsid w:val="00795644"/>
    <w:rsid w:val="007965F7"/>
    <w:rsid w:val="00796E67"/>
    <w:rsid w:val="007975AA"/>
    <w:rsid w:val="007A01BC"/>
    <w:rsid w:val="007A1B56"/>
    <w:rsid w:val="007A2251"/>
    <w:rsid w:val="007A2B67"/>
    <w:rsid w:val="007A4F3E"/>
    <w:rsid w:val="007A716D"/>
    <w:rsid w:val="007A72B2"/>
    <w:rsid w:val="007A7668"/>
    <w:rsid w:val="007B1C1A"/>
    <w:rsid w:val="007B5453"/>
    <w:rsid w:val="007B6A8D"/>
    <w:rsid w:val="007B75D1"/>
    <w:rsid w:val="007C0F68"/>
    <w:rsid w:val="007C2CFC"/>
    <w:rsid w:val="007C438B"/>
    <w:rsid w:val="007C49ED"/>
    <w:rsid w:val="007C4BA1"/>
    <w:rsid w:val="007C4F57"/>
    <w:rsid w:val="007C4FC9"/>
    <w:rsid w:val="007C6ADD"/>
    <w:rsid w:val="007D004C"/>
    <w:rsid w:val="007D31C2"/>
    <w:rsid w:val="007D6F06"/>
    <w:rsid w:val="007D79D6"/>
    <w:rsid w:val="007D7A1E"/>
    <w:rsid w:val="007D7DEE"/>
    <w:rsid w:val="007E1FC8"/>
    <w:rsid w:val="007E5511"/>
    <w:rsid w:val="007E77F3"/>
    <w:rsid w:val="007F2257"/>
    <w:rsid w:val="007F2A25"/>
    <w:rsid w:val="007F307E"/>
    <w:rsid w:val="007F4C79"/>
    <w:rsid w:val="007F68C7"/>
    <w:rsid w:val="007F6C38"/>
    <w:rsid w:val="007F72CD"/>
    <w:rsid w:val="007F740F"/>
    <w:rsid w:val="007F7ACC"/>
    <w:rsid w:val="00800562"/>
    <w:rsid w:val="00801955"/>
    <w:rsid w:val="00802260"/>
    <w:rsid w:val="00803622"/>
    <w:rsid w:val="008038BE"/>
    <w:rsid w:val="0080572F"/>
    <w:rsid w:val="008075DF"/>
    <w:rsid w:val="008112F6"/>
    <w:rsid w:val="0081188A"/>
    <w:rsid w:val="00812326"/>
    <w:rsid w:val="008164E2"/>
    <w:rsid w:val="00824194"/>
    <w:rsid w:val="008242CF"/>
    <w:rsid w:val="008246D6"/>
    <w:rsid w:val="00824A31"/>
    <w:rsid w:val="00825804"/>
    <w:rsid w:val="00826EA9"/>
    <w:rsid w:val="00827163"/>
    <w:rsid w:val="00827A2E"/>
    <w:rsid w:val="008308E4"/>
    <w:rsid w:val="0083151F"/>
    <w:rsid w:val="00832DAC"/>
    <w:rsid w:val="00833C39"/>
    <w:rsid w:val="00834289"/>
    <w:rsid w:val="008343DA"/>
    <w:rsid w:val="008350DC"/>
    <w:rsid w:val="0084071B"/>
    <w:rsid w:val="00841B8F"/>
    <w:rsid w:val="0084330B"/>
    <w:rsid w:val="00843794"/>
    <w:rsid w:val="00843E1B"/>
    <w:rsid w:val="008473E6"/>
    <w:rsid w:val="00847F55"/>
    <w:rsid w:val="00850784"/>
    <w:rsid w:val="00850811"/>
    <w:rsid w:val="00850C84"/>
    <w:rsid w:val="00851767"/>
    <w:rsid w:val="00851E04"/>
    <w:rsid w:val="00853347"/>
    <w:rsid w:val="00853B75"/>
    <w:rsid w:val="00855734"/>
    <w:rsid w:val="00855872"/>
    <w:rsid w:val="0085683F"/>
    <w:rsid w:val="008569C8"/>
    <w:rsid w:val="00856D4C"/>
    <w:rsid w:val="00857E70"/>
    <w:rsid w:val="0086086A"/>
    <w:rsid w:val="00860BCA"/>
    <w:rsid w:val="008610FD"/>
    <w:rsid w:val="00861149"/>
    <w:rsid w:val="008611DF"/>
    <w:rsid w:val="0086181B"/>
    <w:rsid w:val="00861869"/>
    <w:rsid w:val="008627BE"/>
    <w:rsid w:val="008627C5"/>
    <w:rsid w:val="008645BB"/>
    <w:rsid w:val="00865169"/>
    <w:rsid w:val="0086566C"/>
    <w:rsid w:val="00866070"/>
    <w:rsid w:val="008669F0"/>
    <w:rsid w:val="00866D2B"/>
    <w:rsid w:val="008677BF"/>
    <w:rsid w:val="00870A73"/>
    <w:rsid w:val="008731B3"/>
    <w:rsid w:val="0087383E"/>
    <w:rsid w:val="00882734"/>
    <w:rsid w:val="00883D80"/>
    <w:rsid w:val="00884386"/>
    <w:rsid w:val="00886C89"/>
    <w:rsid w:val="0088D37E"/>
    <w:rsid w:val="00890257"/>
    <w:rsid w:val="00890292"/>
    <w:rsid w:val="00894FF5"/>
    <w:rsid w:val="00895D14"/>
    <w:rsid w:val="00896345"/>
    <w:rsid w:val="008A1A58"/>
    <w:rsid w:val="008A3B5A"/>
    <w:rsid w:val="008A4FDF"/>
    <w:rsid w:val="008A5E20"/>
    <w:rsid w:val="008A5EAB"/>
    <w:rsid w:val="008A6282"/>
    <w:rsid w:val="008A7A2F"/>
    <w:rsid w:val="008B4B9D"/>
    <w:rsid w:val="008B4F2F"/>
    <w:rsid w:val="008B50A7"/>
    <w:rsid w:val="008B531C"/>
    <w:rsid w:val="008B5940"/>
    <w:rsid w:val="008C034C"/>
    <w:rsid w:val="008C0873"/>
    <w:rsid w:val="008C0F05"/>
    <w:rsid w:val="008C2CFF"/>
    <w:rsid w:val="008C43B4"/>
    <w:rsid w:val="008C4BA2"/>
    <w:rsid w:val="008C4EB3"/>
    <w:rsid w:val="008C55BC"/>
    <w:rsid w:val="008C6163"/>
    <w:rsid w:val="008C776D"/>
    <w:rsid w:val="008D0743"/>
    <w:rsid w:val="008D1851"/>
    <w:rsid w:val="008D3592"/>
    <w:rsid w:val="008D40D3"/>
    <w:rsid w:val="008D53ED"/>
    <w:rsid w:val="008D5DC0"/>
    <w:rsid w:val="008D60A4"/>
    <w:rsid w:val="008E24B8"/>
    <w:rsid w:val="008E50F2"/>
    <w:rsid w:val="008E51FA"/>
    <w:rsid w:val="008E6AA3"/>
    <w:rsid w:val="008E6B8A"/>
    <w:rsid w:val="008F0E94"/>
    <w:rsid w:val="008F1A8E"/>
    <w:rsid w:val="008F2EB1"/>
    <w:rsid w:val="008F302E"/>
    <w:rsid w:val="00900031"/>
    <w:rsid w:val="00900525"/>
    <w:rsid w:val="00901E52"/>
    <w:rsid w:val="009044A4"/>
    <w:rsid w:val="009051D4"/>
    <w:rsid w:val="0090691A"/>
    <w:rsid w:val="00910252"/>
    <w:rsid w:val="009155D4"/>
    <w:rsid w:val="0091666A"/>
    <w:rsid w:val="00917182"/>
    <w:rsid w:val="00921765"/>
    <w:rsid w:val="0092552C"/>
    <w:rsid w:val="009305B1"/>
    <w:rsid w:val="00930F23"/>
    <w:rsid w:val="009317FE"/>
    <w:rsid w:val="00932F7A"/>
    <w:rsid w:val="009339B5"/>
    <w:rsid w:val="00934791"/>
    <w:rsid w:val="009349C3"/>
    <w:rsid w:val="009364F7"/>
    <w:rsid w:val="00936B28"/>
    <w:rsid w:val="009372BF"/>
    <w:rsid w:val="0093732E"/>
    <w:rsid w:val="00940928"/>
    <w:rsid w:val="00941765"/>
    <w:rsid w:val="0094193C"/>
    <w:rsid w:val="00943C60"/>
    <w:rsid w:val="00944657"/>
    <w:rsid w:val="00945099"/>
    <w:rsid w:val="00950F5C"/>
    <w:rsid w:val="00954150"/>
    <w:rsid w:val="0095505B"/>
    <w:rsid w:val="009558AB"/>
    <w:rsid w:val="00955AEE"/>
    <w:rsid w:val="0095639A"/>
    <w:rsid w:val="00956C45"/>
    <w:rsid w:val="00960275"/>
    <w:rsid w:val="009602E8"/>
    <w:rsid w:val="00961351"/>
    <w:rsid w:val="00961359"/>
    <w:rsid w:val="00961763"/>
    <w:rsid w:val="0096388F"/>
    <w:rsid w:val="00964811"/>
    <w:rsid w:val="00965EA8"/>
    <w:rsid w:val="00966A25"/>
    <w:rsid w:val="00966A37"/>
    <w:rsid w:val="00970DB9"/>
    <w:rsid w:val="009724BD"/>
    <w:rsid w:val="00973756"/>
    <w:rsid w:val="00973F27"/>
    <w:rsid w:val="00973FB3"/>
    <w:rsid w:val="009744C0"/>
    <w:rsid w:val="00975844"/>
    <w:rsid w:val="00975EFD"/>
    <w:rsid w:val="00977545"/>
    <w:rsid w:val="009778D3"/>
    <w:rsid w:val="00977B9E"/>
    <w:rsid w:val="00977C96"/>
    <w:rsid w:val="0098048E"/>
    <w:rsid w:val="00981DB5"/>
    <w:rsid w:val="00983193"/>
    <w:rsid w:val="009836E2"/>
    <w:rsid w:val="00984007"/>
    <w:rsid w:val="0098485B"/>
    <w:rsid w:val="00985837"/>
    <w:rsid w:val="009873E4"/>
    <w:rsid w:val="00987AFF"/>
    <w:rsid w:val="0099003C"/>
    <w:rsid w:val="00991E60"/>
    <w:rsid w:val="0099509E"/>
    <w:rsid w:val="00996448"/>
    <w:rsid w:val="009A1ADF"/>
    <w:rsid w:val="009A35BB"/>
    <w:rsid w:val="009A5B3F"/>
    <w:rsid w:val="009A6560"/>
    <w:rsid w:val="009A77D4"/>
    <w:rsid w:val="009B0C34"/>
    <w:rsid w:val="009B26DB"/>
    <w:rsid w:val="009B3510"/>
    <w:rsid w:val="009B3972"/>
    <w:rsid w:val="009B44AC"/>
    <w:rsid w:val="009B4E8D"/>
    <w:rsid w:val="009B511A"/>
    <w:rsid w:val="009B558E"/>
    <w:rsid w:val="009B7F47"/>
    <w:rsid w:val="009C0E8B"/>
    <w:rsid w:val="009C12B1"/>
    <w:rsid w:val="009C1F79"/>
    <w:rsid w:val="009C451A"/>
    <w:rsid w:val="009C5691"/>
    <w:rsid w:val="009C653E"/>
    <w:rsid w:val="009C7556"/>
    <w:rsid w:val="009C7E1C"/>
    <w:rsid w:val="009D11ED"/>
    <w:rsid w:val="009D1AD5"/>
    <w:rsid w:val="009D2424"/>
    <w:rsid w:val="009D28C3"/>
    <w:rsid w:val="009D2C3F"/>
    <w:rsid w:val="009D7724"/>
    <w:rsid w:val="009D7FF6"/>
    <w:rsid w:val="009E084F"/>
    <w:rsid w:val="009E0C50"/>
    <w:rsid w:val="009E2DCC"/>
    <w:rsid w:val="009E33BA"/>
    <w:rsid w:val="009E39C3"/>
    <w:rsid w:val="009E4B18"/>
    <w:rsid w:val="009E4B8C"/>
    <w:rsid w:val="009E4FD5"/>
    <w:rsid w:val="009E555C"/>
    <w:rsid w:val="009E6269"/>
    <w:rsid w:val="009E6414"/>
    <w:rsid w:val="009F0163"/>
    <w:rsid w:val="009F0C3B"/>
    <w:rsid w:val="009F197D"/>
    <w:rsid w:val="009F1D4B"/>
    <w:rsid w:val="009F2337"/>
    <w:rsid w:val="009F2FDE"/>
    <w:rsid w:val="009F52DF"/>
    <w:rsid w:val="009F563A"/>
    <w:rsid w:val="009F7F27"/>
    <w:rsid w:val="00A0138A"/>
    <w:rsid w:val="00A01AB4"/>
    <w:rsid w:val="00A0224F"/>
    <w:rsid w:val="00A02F43"/>
    <w:rsid w:val="00A052EB"/>
    <w:rsid w:val="00A05D34"/>
    <w:rsid w:val="00A06D7F"/>
    <w:rsid w:val="00A073AD"/>
    <w:rsid w:val="00A12B04"/>
    <w:rsid w:val="00A147D2"/>
    <w:rsid w:val="00A153CE"/>
    <w:rsid w:val="00A16E1B"/>
    <w:rsid w:val="00A16F9F"/>
    <w:rsid w:val="00A203A8"/>
    <w:rsid w:val="00A206AF"/>
    <w:rsid w:val="00A20E14"/>
    <w:rsid w:val="00A22BD9"/>
    <w:rsid w:val="00A24975"/>
    <w:rsid w:val="00A26C1F"/>
    <w:rsid w:val="00A30583"/>
    <w:rsid w:val="00A30CB8"/>
    <w:rsid w:val="00A3165B"/>
    <w:rsid w:val="00A32FA5"/>
    <w:rsid w:val="00A34070"/>
    <w:rsid w:val="00A353A3"/>
    <w:rsid w:val="00A45705"/>
    <w:rsid w:val="00A46B21"/>
    <w:rsid w:val="00A47557"/>
    <w:rsid w:val="00A51B16"/>
    <w:rsid w:val="00A53398"/>
    <w:rsid w:val="00A53507"/>
    <w:rsid w:val="00A544ED"/>
    <w:rsid w:val="00A54555"/>
    <w:rsid w:val="00A559AD"/>
    <w:rsid w:val="00A563D6"/>
    <w:rsid w:val="00A567F9"/>
    <w:rsid w:val="00A56E6B"/>
    <w:rsid w:val="00A57F12"/>
    <w:rsid w:val="00A61D3B"/>
    <w:rsid w:val="00A62824"/>
    <w:rsid w:val="00A65BB6"/>
    <w:rsid w:val="00A6681D"/>
    <w:rsid w:val="00A67443"/>
    <w:rsid w:val="00A707D2"/>
    <w:rsid w:val="00A71E2D"/>
    <w:rsid w:val="00A72251"/>
    <w:rsid w:val="00A739EA"/>
    <w:rsid w:val="00A73A4C"/>
    <w:rsid w:val="00A7480A"/>
    <w:rsid w:val="00A77E63"/>
    <w:rsid w:val="00A80C08"/>
    <w:rsid w:val="00A81974"/>
    <w:rsid w:val="00A828CB"/>
    <w:rsid w:val="00A848A1"/>
    <w:rsid w:val="00A869D1"/>
    <w:rsid w:val="00A87BEE"/>
    <w:rsid w:val="00A87EFD"/>
    <w:rsid w:val="00A9080E"/>
    <w:rsid w:val="00A90DB6"/>
    <w:rsid w:val="00A920A4"/>
    <w:rsid w:val="00A92456"/>
    <w:rsid w:val="00A93E12"/>
    <w:rsid w:val="00A9407E"/>
    <w:rsid w:val="00A94915"/>
    <w:rsid w:val="00A94BFC"/>
    <w:rsid w:val="00A94DFD"/>
    <w:rsid w:val="00AA0979"/>
    <w:rsid w:val="00AA116E"/>
    <w:rsid w:val="00AA2E32"/>
    <w:rsid w:val="00AA4A03"/>
    <w:rsid w:val="00AA575E"/>
    <w:rsid w:val="00AA619B"/>
    <w:rsid w:val="00AA664D"/>
    <w:rsid w:val="00AA6C13"/>
    <w:rsid w:val="00AA751C"/>
    <w:rsid w:val="00AB0030"/>
    <w:rsid w:val="00AB0D7C"/>
    <w:rsid w:val="00AB2173"/>
    <w:rsid w:val="00AB2884"/>
    <w:rsid w:val="00AC0928"/>
    <w:rsid w:val="00AC1BDB"/>
    <w:rsid w:val="00AC22A4"/>
    <w:rsid w:val="00AC3278"/>
    <w:rsid w:val="00AC4660"/>
    <w:rsid w:val="00AC53FA"/>
    <w:rsid w:val="00AC71D8"/>
    <w:rsid w:val="00AD070E"/>
    <w:rsid w:val="00AD3223"/>
    <w:rsid w:val="00AD34B2"/>
    <w:rsid w:val="00AD3716"/>
    <w:rsid w:val="00AD3EE7"/>
    <w:rsid w:val="00AD44CC"/>
    <w:rsid w:val="00AD4A88"/>
    <w:rsid w:val="00AD50C8"/>
    <w:rsid w:val="00AD65B4"/>
    <w:rsid w:val="00AD77D2"/>
    <w:rsid w:val="00AE180A"/>
    <w:rsid w:val="00AE353D"/>
    <w:rsid w:val="00AE44EA"/>
    <w:rsid w:val="00AE4F9F"/>
    <w:rsid w:val="00AE5A09"/>
    <w:rsid w:val="00AE77C7"/>
    <w:rsid w:val="00AF1A79"/>
    <w:rsid w:val="00AF2D5E"/>
    <w:rsid w:val="00AF402F"/>
    <w:rsid w:val="00AF549C"/>
    <w:rsid w:val="00AF595F"/>
    <w:rsid w:val="00AF7B4C"/>
    <w:rsid w:val="00B0080E"/>
    <w:rsid w:val="00B0303C"/>
    <w:rsid w:val="00B039AB"/>
    <w:rsid w:val="00B04E24"/>
    <w:rsid w:val="00B05C09"/>
    <w:rsid w:val="00B06E25"/>
    <w:rsid w:val="00B07884"/>
    <w:rsid w:val="00B110F8"/>
    <w:rsid w:val="00B11CC8"/>
    <w:rsid w:val="00B12BD4"/>
    <w:rsid w:val="00B135DC"/>
    <w:rsid w:val="00B14E42"/>
    <w:rsid w:val="00B15850"/>
    <w:rsid w:val="00B15D17"/>
    <w:rsid w:val="00B20C1E"/>
    <w:rsid w:val="00B21448"/>
    <w:rsid w:val="00B21DAE"/>
    <w:rsid w:val="00B228B9"/>
    <w:rsid w:val="00B24072"/>
    <w:rsid w:val="00B24309"/>
    <w:rsid w:val="00B2552F"/>
    <w:rsid w:val="00B270DE"/>
    <w:rsid w:val="00B332F6"/>
    <w:rsid w:val="00B335E7"/>
    <w:rsid w:val="00B33BDA"/>
    <w:rsid w:val="00B34E12"/>
    <w:rsid w:val="00B3613E"/>
    <w:rsid w:val="00B36554"/>
    <w:rsid w:val="00B369BF"/>
    <w:rsid w:val="00B40D05"/>
    <w:rsid w:val="00B41F19"/>
    <w:rsid w:val="00B423C1"/>
    <w:rsid w:val="00B43C76"/>
    <w:rsid w:val="00B4437B"/>
    <w:rsid w:val="00B44659"/>
    <w:rsid w:val="00B46A32"/>
    <w:rsid w:val="00B504B6"/>
    <w:rsid w:val="00B51DF6"/>
    <w:rsid w:val="00B531E5"/>
    <w:rsid w:val="00B532E8"/>
    <w:rsid w:val="00B53BE1"/>
    <w:rsid w:val="00B5407D"/>
    <w:rsid w:val="00B54A44"/>
    <w:rsid w:val="00B54E5E"/>
    <w:rsid w:val="00B54F13"/>
    <w:rsid w:val="00B553EF"/>
    <w:rsid w:val="00B56211"/>
    <w:rsid w:val="00B62775"/>
    <w:rsid w:val="00B62C54"/>
    <w:rsid w:val="00B667C1"/>
    <w:rsid w:val="00B703FC"/>
    <w:rsid w:val="00B70820"/>
    <w:rsid w:val="00B729F9"/>
    <w:rsid w:val="00B7472E"/>
    <w:rsid w:val="00B74920"/>
    <w:rsid w:val="00B756F6"/>
    <w:rsid w:val="00B7576A"/>
    <w:rsid w:val="00B778CB"/>
    <w:rsid w:val="00B77CE4"/>
    <w:rsid w:val="00B8137D"/>
    <w:rsid w:val="00B827E0"/>
    <w:rsid w:val="00B82A59"/>
    <w:rsid w:val="00B82E2E"/>
    <w:rsid w:val="00B82E6C"/>
    <w:rsid w:val="00B87308"/>
    <w:rsid w:val="00B878F4"/>
    <w:rsid w:val="00B908C0"/>
    <w:rsid w:val="00B91022"/>
    <w:rsid w:val="00B91516"/>
    <w:rsid w:val="00B923C6"/>
    <w:rsid w:val="00B92CF9"/>
    <w:rsid w:val="00B940DC"/>
    <w:rsid w:val="00B9553A"/>
    <w:rsid w:val="00B968B6"/>
    <w:rsid w:val="00B96905"/>
    <w:rsid w:val="00B96993"/>
    <w:rsid w:val="00B9770F"/>
    <w:rsid w:val="00B97E16"/>
    <w:rsid w:val="00BA075C"/>
    <w:rsid w:val="00BA192E"/>
    <w:rsid w:val="00BA203E"/>
    <w:rsid w:val="00BA2075"/>
    <w:rsid w:val="00BA252C"/>
    <w:rsid w:val="00BA3A7C"/>
    <w:rsid w:val="00BA45C6"/>
    <w:rsid w:val="00BA571F"/>
    <w:rsid w:val="00BA5F42"/>
    <w:rsid w:val="00BA6D01"/>
    <w:rsid w:val="00BA71AF"/>
    <w:rsid w:val="00BB0D50"/>
    <w:rsid w:val="00BB13F9"/>
    <w:rsid w:val="00BB26D2"/>
    <w:rsid w:val="00BB2E13"/>
    <w:rsid w:val="00BB398B"/>
    <w:rsid w:val="00BB3BB8"/>
    <w:rsid w:val="00BB596D"/>
    <w:rsid w:val="00BB69C0"/>
    <w:rsid w:val="00BC078D"/>
    <w:rsid w:val="00BC0DA1"/>
    <w:rsid w:val="00BC23C0"/>
    <w:rsid w:val="00BC2426"/>
    <w:rsid w:val="00BC26CE"/>
    <w:rsid w:val="00BC4317"/>
    <w:rsid w:val="00BC602E"/>
    <w:rsid w:val="00BC7C76"/>
    <w:rsid w:val="00BD08AE"/>
    <w:rsid w:val="00BD0D07"/>
    <w:rsid w:val="00BD108F"/>
    <w:rsid w:val="00BD133B"/>
    <w:rsid w:val="00BD6703"/>
    <w:rsid w:val="00BD72EA"/>
    <w:rsid w:val="00BD78A6"/>
    <w:rsid w:val="00BE0D96"/>
    <w:rsid w:val="00BE19B4"/>
    <w:rsid w:val="00BE1C8E"/>
    <w:rsid w:val="00BE3421"/>
    <w:rsid w:val="00BE5C2C"/>
    <w:rsid w:val="00BE6BB8"/>
    <w:rsid w:val="00BF24B5"/>
    <w:rsid w:val="00BF2637"/>
    <w:rsid w:val="00BF3123"/>
    <w:rsid w:val="00BF4206"/>
    <w:rsid w:val="00BF5456"/>
    <w:rsid w:val="00BF5BD3"/>
    <w:rsid w:val="00BF5EFD"/>
    <w:rsid w:val="00BF6474"/>
    <w:rsid w:val="00BF69AB"/>
    <w:rsid w:val="00C00DCE"/>
    <w:rsid w:val="00C01A9C"/>
    <w:rsid w:val="00C02EC4"/>
    <w:rsid w:val="00C0416F"/>
    <w:rsid w:val="00C04656"/>
    <w:rsid w:val="00C05414"/>
    <w:rsid w:val="00C05A88"/>
    <w:rsid w:val="00C100F4"/>
    <w:rsid w:val="00C10C1F"/>
    <w:rsid w:val="00C10E5A"/>
    <w:rsid w:val="00C114C3"/>
    <w:rsid w:val="00C12827"/>
    <w:rsid w:val="00C143E1"/>
    <w:rsid w:val="00C1633C"/>
    <w:rsid w:val="00C17CA0"/>
    <w:rsid w:val="00C2251B"/>
    <w:rsid w:val="00C22D0A"/>
    <w:rsid w:val="00C23D6E"/>
    <w:rsid w:val="00C24B61"/>
    <w:rsid w:val="00C25767"/>
    <w:rsid w:val="00C2795A"/>
    <w:rsid w:val="00C30F1E"/>
    <w:rsid w:val="00C32096"/>
    <w:rsid w:val="00C33921"/>
    <w:rsid w:val="00C34FEE"/>
    <w:rsid w:val="00C36638"/>
    <w:rsid w:val="00C37E3E"/>
    <w:rsid w:val="00C4076D"/>
    <w:rsid w:val="00C422D4"/>
    <w:rsid w:val="00C43AE4"/>
    <w:rsid w:val="00C452FD"/>
    <w:rsid w:val="00C46B1D"/>
    <w:rsid w:val="00C47CFE"/>
    <w:rsid w:val="00C504D1"/>
    <w:rsid w:val="00C512D5"/>
    <w:rsid w:val="00C54738"/>
    <w:rsid w:val="00C54B81"/>
    <w:rsid w:val="00C6079D"/>
    <w:rsid w:val="00C60A49"/>
    <w:rsid w:val="00C60E35"/>
    <w:rsid w:val="00C61112"/>
    <w:rsid w:val="00C612CF"/>
    <w:rsid w:val="00C654FB"/>
    <w:rsid w:val="00C65865"/>
    <w:rsid w:val="00C66914"/>
    <w:rsid w:val="00C675CD"/>
    <w:rsid w:val="00C67EFD"/>
    <w:rsid w:val="00C704A7"/>
    <w:rsid w:val="00C71AB4"/>
    <w:rsid w:val="00C736F3"/>
    <w:rsid w:val="00C75693"/>
    <w:rsid w:val="00C77413"/>
    <w:rsid w:val="00C77798"/>
    <w:rsid w:val="00C80987"/>
    <w:rsid w:val="00C82607"/>
    <w:rsid w:val="00C84DEE"/>
    <w:rsid w:val="00C85550"/>
    <w:rsid w:val="00C86F81"/>
    <w:rsid w:val="00C90CAC"/>
    <w:rsid w:val="00C9101A"/>
    <w:rsid w:val="00C92DDF"/>
    <w:rsid w:val="00C9482E"/>
    <w:rsid w:val="00C948E6"/>
    <w:rsid w:val="00C94D96"/>
    <w:rsid w:val="00C97077"/>
    <w:rsid w:val="00C97F72"/>
    <w:rsid w:val="00CA041E"/>
    <w:rsid w:val="00CA1829"/>
    <w:rsid w:val="00CA3E62"/>
    <w:rsid w:val="00CA475A"/>
    <w:rsid w:val="00CA53CE"/>
    <w:rsid w:val="00CA59F5"/>
    <w:rsid w:val="00CA71DF"/>
    <w:rsid w:val="00CB0751"/>
    <w:rsid w:val="00CB0BEA"/>
    <w:rsid w:val="00CB0DC0"/>
    <w:rsid w:val="00CB1678"/>
    <w:rsid w:val="00CB1DC7"/>
    <w:rsid w:val="00CB2075"/>
    <w:rsid w:val="00CB40BF"/>
    <w:rsid w:val="00CB5805"/>
    <w:rsid w:val="00CB602A"/>
    <w:rsid w:val="00CC053C"/>
    <w:rsid w:val="00CC23FE"/>
    <w:rsid w:val="00CC7C04"/>
    <w:rsid w:val="00CC7F05"/>
    <w:rsid w:val="00CD0B43"/>
    <w:rsid w:val="00CD0E40"/>
    <w:rsid w:val="00CD1473"/>
    <w:rsid w:val="00CD28AC"/>
    <w:rsid w:val="00CD2B6E"/>
    <w:rsid w:val="00CD4137"/>
    <w:rsid w:val="00CD4A7F"/>
    <w:rsid w:val="00CD539D"/>
    <w:rsid w:val="00CD7198"/>
    <w:rsid w:val="00CD7985"/>
    <w:rsid w:val="00CE034F"/>
    <w:rsid w:val="00CE1579"/>
    <w:rsid w:val="00CE19A4"/>
    <w:rsid w:val="00CE41C9"/>
    <w:rsid w:val="00CE46AC"/>
    <w:rsid w:val="00CE6AD9"/>
    <w:rsid w:val="00CE7581"/>
    <w:rsid w:val="00CF1083"/>
    <w:rsid w:val="00CF1291"/>
    <w:rsid w:val="00CF186F"/>
    <w:rsid w:val="00CF35D8"/>
    <w:rsid w:val="00D061B0"/>
    <w:rsid w:val="00D07736"/>
    <w:rsid w:val="00D11FE7"/>
    <w:rsid w:val="00D13629"/>
    <w:rsid w:val="00D15A5E"/>
    <w:rsid w:val="00D15B73"/>
    <w:rsid w:val="00D15E4B"/>
    <w:rsid w:val="00D15FD7"/>
    <w:rsid w:val="00D16511"/>
    <w:rsid w:val="00D16B5A"/>
    <w:rsid w:val="00D171BA"/>
    <w:rsid w:val="00D17D4D"/>
    <w:rsid w:val="00D22269"/>
    <w:rsid w:val="00D2468A"/>
    <w:rsid w:val="00D26034"/>
    <w:rsid w:val="00D31011"/>
    <w:rsid w:val="00D31C00"/>
    <w:rsid w:val="00D3266C"/>
    <w:rsid w:val="00D32920"/>
    <w:rsid w:val="00D33A74"/>
    <w:rsid w:val="00D34091"/>
    <w:rsid w:val="00D3487D"/>
    <w:rsid w:val="00D3543B"/>
    <w:rsid w:val="00D37171"/>
    <w:rsid w:val="00D41A03"/>
    <w:rsid w:val="00D41C74"/>
    <w:rsid w:val="00D42439"/>
    <w:rsid w:val="00D427F0"/>
    <w:rsid w:val="00D446EF"/>
    <w:rsid w:val="00D46798"/>
    <w:rsid w:val="00D47D53"/>
    <w:rsid w:val="00D5074F"/>
    <w:rsid w:val="00D5084E"/>
    <w:rsid w:val="00D5519A"/>
    <w:rsid w:val="00D61442"/>
    <w:rsid w:val="00D62759"/>
    <w:rsid w:val="00D670E9"/>
    <w:rsid w:val="00D67742"/>
    <w:rsid w:val="00D7030D"/>
    <w:rsid w:val="00D709A1"/>
    <w:rsid w:val="00D70CC3"/>
    <w:rsid w:val="00D71F62"/>
    <w:rsid w:val="00D7244A"/>
    <w:rsid w:val="00D7526F"/>
    <w:rsid w:val="00D7634D"/>
    <w:rsid w:val="00D76C6D"/>
    <w:rsid w:val="00D82144"/>
    <w:rsid w:val="00D852A5"/>
    <w:rsid w:val="00D8605B"/>
    <w:rsid w:val="00D86594"/>
    <w:rsid w:val="00D86B31"/>
    <w:rsid w:val="00D86F8E"/>
    <w:rsid w:val="00D907AF"/>
    <w:rsid w:val="00D91890"/>
    <w:rsid w:val="00D9209F"/>
    <w:rsid w:val="00D920DE"/>
    <w:rsid w:val="00D92378"/>
    <w:rsid w:val="00D92E33"/>
    <w:rsid w:val="00D93884"/>
    <w:rsid w:val="00D93ED6"/>
    <w:rsid w:val="00D9479D"/>
    <w:rsid w:val="00D9516D"/>
    <w:rsid w:val="00D96455"/>
    <w:rsid w:val="00DA109A"/>
    <w:rsid w:val="00DA2790"/>
    <w:rsid w:val="00DA2D9D"/>
    <w:rsid w:val="00DA340C"/>
    <w:rsid w:val="00DA738A"/>
    <w:rsid w:val="00DA77A8"/>
    <w:rsid w:val="00DA7AB5"/>
    <w:rsid w:val="00DB07BD"/>
    <w:rsid w:val="00DB1239"/>
    <w:rsid w:val="00DB13DF"/>
    <w:rsid w:val="00DB193F"/>
    <w:rsid w:val="00DB243B"/>
    <w:rsid w:val="00DB5EA1"/>
    <w:rsid w:val="00DC183C"/>
    <w:rsid w:val="00DC3C17"/>
    <w:rsid w:val="00DC4408"/>
    <w:rsid w:val="00DC562F"/>
    <w:rsid w:val="00DC5933"/>
    <w:rsid w:val="00DC5FE9"/>
    <w:rsid w:val="00DC6C94"/>
    <w:rsid w:val="00DD0C13"/>
    <w:rsid w:val="00DD15C8"/>
    <w:rsid w:val="00DD3424"/>
    <w:rsid w:val="00DD5C6A"/>
    <w:rsid w:val="00DD697E"/>
    <w:rsid w:val="00DD72A2"/>
    <w:rsid w:val="00DD7B03"/>
    <w:rsid w:val="00DD7C08"/>
    <w:rsid w:val="00DE2CF4"/>
    <w:rsid w:val="00DE3C02"/>
    <w:rsid w:val="00DE3C95"/>
    <w:rsid w:val="00DE4A6A"/>
    <w:rsid w:val="00DE4FA2"/>
    <w:rsid w:val="00DE5388"/>
    <w:rsid w:val="00DE69BB"/>
    <w:rsid w:val="00DE75EB"/>
    <w:rsid w:val="00DF0130"/>
    <w:rsid w:val="00DF0A24"/>
    <w:rsid w:val="00DF17D1"/>
    <w:rsid w:val="00DF2FDB"/>
    <w:rsid w:val="00DF3F31"/>
    <w:rsid w:val="00DF4A25"/>
    <w:rsid w:val="00DF6B1A"/>
    <w:rsid w:val="00DF74D1"/>
    <w:rsid w:val="00E00ABC"/>
    <w:rsid w:val="00E020EC"/>
    <w:rsid w:val="00E02388"/>
    <w:rsid w:val="00E02918"/>
    <w:rsid w:val="00E03F55"/>
    <w:rsid w:val="00E0711A"/>
    <w:rsid w:val="00E07C38"/>
    <w:rsid w:val="00E10811"/>
    <w:rsid w:val="00E10845"/>
    <w:rsid w:val="00E11244"/>
    <w:rsid w:val="00E14386"/>
    <w:rsid w:val="00E1456D"/>
    <w:rsid w:val="00E14E9D"/>
    <w:rsid w:val="00E20698"/>
    <w:rsid w:val="00E22259"/>
    <w:rsid w:val="00E25350"/>
    <w:rsid w:val="00E26306"/>
    <w:rsid w:val="00E26B71"/>
    <w:rsid w:val="00E30A82"/>
    <w:rsid w:val="00E30C26"/>
    <w:rsid w:val="00E30FA9"/>
    <w:rsid w:val="00E31BA8"/>
    <w:rsid w:val="00E31F0B"/>
    <w:rsid w:val="00E3351C"/>
    <w:rsid w:val="00E33BF4"/>
    <w:rsid w:val="00E34943"/>
    <w:rsid w:val="00E35EBE"/>
    <w:rsid w:val="00E37800"/>
    <w:rsid w:val="00E407B4"/>
    <w:rsid w:val="00E41CEA"/>
    <w:rsid w:val="00E41F05"/>
    <w:rsid w:val="00E41FCE"/>
    <w:rsid w:val="00E421DB"/>
    <w:rsid w:val="00E43694"/>
    <w:rsid w:val="00E444DD"/>
    <w:rsid w:val="00E44E8F"/>
    <w:rsid w:val="00E46627"/>
    <w:rsid w:val="00E601FF"/>
    <w:rsid w:val="00E607CD"/>
    <w:rsid w:val="00E63229"/>
    <w:rsid w:val="00E63DA9"/>
    <w:rsid w:val="00E64BD4"/>
    <w:rsid w:val="00E65520"/>
    <w:rsid w:val="00E660D2"/>
    <w:rsid w:val="00E67A3E"/>
    <w:rsid w:val="00E70F81"/>
    <w:rsid w:val="00E7367A"/>
    <w:rsid w:val="00E7488B"/>
    <w:rsid w:val="00E7498F"/>
    <w:rsid w:val="00E80BB7"/>
    <w:rsid w:val="00E823B1"/>
    <w:rsid w:val="00E84666"/>
    <w:rsid w:val="00E85D4E"/>
    <w:rsid w:val="00E86B6C"/>
    <w:rsid w:val="00E92518"/>
    <w:rsid w:val="00E95626"/>
    <w:rsid w:val="00E95B9D"/>
    <w:rsid w:val="00E96756"/>
    <w:rsid w:val="00E97F4D"/>
    <w:rsid w:val="00EA0B98"/>
    <w:rsid w:val="00EA1957"/>
    <w:rsid w:val="00EA1AA8"/>
    <w:rsid w:val="00EA1C94"/>
    <w:rsid w:val="00EA1CD8"/>
    <w:rsid w:val="00EA25DB"/>
    <w:rsid w:val="00EA3EE2"/>
    <w:rsid w:val="00EA50FD"/>
    <w:rsid w:val="00EA5850"/>
    <w:rsid w:val="00EB02CE"/>
    <w:rsid w:val="00EB126A"/>
    <w:rsid w:val="00EB359C"/>
    <w:rsid w:val="00EB3A90"/>
    <w:rsid w:val="00EB5A3D"/>
    <w:rsid w:val="00EB618C"/>
    <w:rsid w:val="00EB64A2"/>
    <w:rsid w:val="00EB69EE"/>
    <w:rsid w:val="00EC079F"/>
    <w:rsid w:val="00EC0E9E"/>
    <w:rsid w:val="00EC12DE"/>
    <w:rsid w:val="00EC2086"/>
    <w:rsid w:val="00EC2E46"/>
    <w:rsid w:val="00EC51A4"/>
    <w:rsid w:val="00EC68E4"/>
    <w:rsid w:val="00EC6D51"/>
    <w:rsid w:val="00ED25EC"/>
    <w:rsid w:val="00ED263C"/>
    <w:rsid w:val="00ED2ABC"/>
    <w:rsid w:val="00ED370E"/>
    <w:rsid w:val="00ED4F70"/>
    <w:rsid w:val="00ED52BA"/>
    <w:rsid w:val="00ED53CB"/>
    <w:rsid w:val="00ED6787"/>
    <w:rsid w:val="00ED780B"/>
    <w:rsid w:val="00EE13BC"/>
    <w:rsid w:val="00EE205A"/>
    <w:rsid w:val="00EE25E0"/>
    <w:rsid w:val="00EE340D"/>
    <w:rsid w:val="00EE6086"/>
    <w:rsid w:val="00EE6F1F"/>
    <w:rsid w:val="00EE7061"/>
    <w:rsid w:val="00EF036D"/>
    <w:rsid w:val="00EF0778"/>
    <w:rsid w:val="00EF1A9B"/>
    <w:rsid w:val="00EF2015"/>
    <w:rsid w:val="00EF3450"/>
    <w:rsid w:val="00EF3FEF"/>
    <w:rsid w:val="00EF4B31"/>
    <w:rsid w:val="00EF52CB"/>
    <w:rsid w:val="00EF5705"/>
    <w:rsid w:val="00EF5DF8"/>
    <w:rsid w:val="00F00145"/>
    <w:rsid w:val="00F002C6"/>
    <w:rsid w:val="00F00320"/>
    <w:rsid w:val="00F0076D"/>
    <w:rsid w:val="00F013CE"/>
    <w:rsid w:val="00F015EE"/>
    <w:rsid w:val="00F01F1D"/>
    <w:rsid w:val="00F0443F"/>
    <w:rsid w:val="00F04B34"/>
    <w:rsid w:val="00F056F2"/>
    <w:rsid w:val="00F05A01"/>
    <w:rsid w:val="00F11683"/>
    <w:rsid w:val="00F11FCE"/>
    <w:rsid w:val="00F12105"/>
    <w:rsid w:val="00F15737"/>
    <w:rsid w:val="00F17201"/>
    <w:rsid w:val="00F17941"/>
    <w:rsid w:val="00F24815"/>
    <w:rsid w:val="00F25394"/>
    <w:rsid w:val="00F26FEA"/>
    <w:rsid w:val="00F31724"/>
    <w:rsid w:val="00F31F5D"/>
    <w:rsid w:val="00F32396"/>
    <w:rsid w:val="00F326DB"/>
    <w:rsid w:val="00F349D7"/>
    <w:rsid w:val="00F34FEF"/>
    <w:rsid w:val="00F3553F"/>
    <w:rsid w:val="00F36934"/>
    <w:rsid w:val="00F400B1"/>
    <w:rsid w:val="00F406C9"/>
    <w:rsid w:val="00F421B0"/>
    <w:rsid w:val="00F46B88"/>
    <w:rsid w:val="00F47041"/>
    <w:rsid w:val="00F477AD"/>
    <w:rsid w:val="00F47EDB"/>
    <w:rsid w:val="00F512B2"/>
    <w:rsid w:val="00F51E3A"/>
    <w:rsid w:val="00F52A95"/>
    <w:rsid w:val="00F5425E"/>
    <w:rsid w:val="00F54585"/>
    <w:rsid w:val="00F5501C"/>
    <w:rsid w:val="00F57119"/>
    <w:rsid w:val="00F5759C"/>
    <w:rsid w:val="00F5785C"/>
    <w:rsid w:val="00F6048C"/>
    <w:rsid w:val="00F618E0"/>
    <w:rsid w:val="00F6194B"/>
    <w:rsid w:val="00F61993"/>
    <w:rsid w:val="00F61B5D"/>
    <w:rsid w:val="00F62814"/>
    <w:rsid w:val="00F64FD7"/>
    <w:rsid w:val="00F66C6D"/>
    <w:rsid w:val="00F67728"/>
    <w:rsid w:val="00F67C24"/>
    <w:rsid w:val="00F72173"/>
    <w:rsid w:val="00F72BE7"/>
    <w:rsid w:val="00F72D30"/>
    <w:rsid w:val="00F75BF1"/>
    <w:rsid w:val="00F76D62"/>
    <w:rsid w:val="00F77BFC"/>
    <w:rsid w:val="00F829E7"/>
    <w:rsid w:val="00F8443F"/>
    <w:rsid w:val="00F87134"/>
    <w:rsid w:val="00F90036"/>
    <w:rsid w:val="00F913FB"/>
    <w:rsid w:val="00F9155E"/>
    <w:rsid w:val="00F93B88"/>
    <w:rsid w:val="00F93F6F"/>
    <w:rsid w:val="00F94DE4"/>
    <w:rsid w:val="00F94F80"/>
    <w:rsid w:val="00F95D5D"/>
    <w:rsid w:val="00F968DB"/>
    <w:rsid w:val="00F96971"/>
    <w:rsid w:val="00F974D8"/>
    <w:rsid w:val="00FA04C8"/>
    <w:rsid w:val="00FA08ED"/>
    <w:rsid w:val="00FA0CF4"/>
    <w:rsid w:val="00FA1657"/>
    <w:rsid w:val="00FA41DE"/>
    <w:rsid w:val="00FA4286"/>
    <w:rsid w:val="00FA4CF9"/>
    <w:rsid w:val="00FA51D7"/>
    <w:rsid w:val="00FA660A"/>
    <w:rsid w:val="00FB0129"/>
    <w:rsid w:val="00FB0CEE"/>
    <w:rsid w:val="00FB0E1B"/>
    <w:rsid w:val="00FB164E"/>
    <w:rsid w:val="00FB1BA7"/>
    <w:rsid w:val="00FB2794"/>
    <w:rsid w:val="00FB2D2D"/>
    <w:rsid w:val="00FB3D00"/>
    <w:rsid w:val="00FB4218"/>
    <w:rsid w:val="00FB57C3"/>
    <w:rsid w:val="00FB5B6B"/>
    <w:rsid w:val="00FB64E6"/>
    <w:rsid w:val="00FC06AE"/>
    <w:rsid w:val="00FC0925"/>
    <w:rsid w:val="00FC0F28"/>
    <w:rsid w:val="00FC1E13"/>
    <w:rsid w:val="00FC2286"/>
    <w:rsid w:val="00FC3327"/>
    <w:rsid w:val="00FC36B0"/>
    <w:rsid w:val="00FC49E4"/>
    <w:rsid w:val="00FC521E"/>
    <w:rsid w:val="00FC5B90"/>
    <w:rsid w:val="00FC61AE"/>
    <w:rsid w:val="00FC6FDB"/>
    <w:rsid w:val="00FD039B"/>
    <w:rsid w:val="00FD165B"/>
    <w:rsid w:val="00FD3570"/>
    <w:rsid w:val="00FD36B6"/>
    <w:rsid w:val="00FD3789"/>
    <w:rsid w:val="00FD659A"/>
    <w:rsid w:val="00FD6B1C"/>
    <w:rsid w:val="00FD76B9"/>
    <w:rsid w:val="00FE01B8"/>
    <w:rsid w:val="00FE06A0"/>
    <w:rsid w:val="00FE0E10"/>
    <w:rsid w:val="00FE2C1D"/>
    <w:rsid w:val="00FE2C32"/>
    <w:rsid w:val="00FE4233"/>
    <w:rsid w:val="00FE617E"/>
    <w:rsid w:val="00FE7DAB"/>
    <w:rsid w:val="00FF3D6B"/>
    <w:rsid w:val="00FF5AF9"/>
    <w:rsid w:val="01C559F6"/>
    <w:rsid w:val="0401DD6D"/>
    <w:rsid w:val="0B60446E"/>
    <w:rsid w:val="0E220E7C"/>
    <w:rsid w:val="11D275F6"/>
    <w:rsid w:val="1BBC4241"/>
    <w:rsid w:val="25DEFEBC"/>
    <w:rsid w:val="2B93963A"/>
    <w:rsid w:val="2FE4A163"/>
    <w:rsid w:val="33CC3D19"/>
    <w:rsid w:val="380F3499"/>
    <w:rsid w:val="3BD89045"/>
    <w:rsid w:val="3C1B16FD"/>
    <w:rsid w:val="3D71E2BB"/>
    <w:rsid w:val="450C1ADA"/>
    <w:rsid w:val="4CDE4063"/>
    <w:rsid w:val="51C7E041"/>
    <w:rsid w:val="5321F5A0"/>
    <w:rsid w:val="582E76A5"/>
    <w:rsid w:val="64C92266"/>
    <w:rsid w:val="6B1F85A9"/>
    <w:rsid w:val="6C331F27"/>
    <w:rsid w:val="6DEE70D9"/>
    <w:rsid w:val="6EC83B28"/>
    <w:rsid w:val="6FFD31CA"/>
    <w:rsid w:val="798D7C64"/>
    <w:rsid w:val="7D5C8735"/>
    <w:rsid w:val="7D75181A"/>
    <w:rsid w:val="7F3E87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8F04B5"/>
  <w15:docId w15:val="{07E33C30-88E1-44D5-99E5-4835395B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2587F"/>
  </w:style>
  <w:style w:type="paragraph" w:styleId="Heading1">
    <w:name w:val="heading 1"/>
    <w:basedOn w:val="Normal"/>
    <w:next w:val="Normal"/>
    <w:link w:val="Heading1Char"/>
    <w:uiPriority w:val="9"/>
    <w:qFormat/>
    <w:rsid w:val="002C29BA"/>
    <w:pPr>
      <w:keepNext/>
      <w:keepLines/>
      <w:numPr>
        <w:numId w:val="44"/>
      </w:numPr>
      <w:spacing w:after="0" w:line="240" w:lineRule="auto"/>
      <w:outlineLvl w:val="0"/>
    </w:pPr>
    <w:rPr>
      <w:color w:val="2E75B5"/>
      <w:sz w:val="24"/>
      <w:szCs w:val="28"/>
    </w:rPr>
  </w:style>
  <w:style w:type="paragraph" w:styleId="Heading2">
    <w:name w:val="heading 2"/>
    <w:basedOn w:val="Normal"/>
    <w:next w:val="Normal"/>
    <w:link w:val="Heading2Char"/>
    <w:uiPriority w:val="9"/>
    <w:rsid w:val="00C34FEE"/>
    <w:pPr>
      <w:keepNext/>
      <w:keepLines/>
      <w:numPr>
        <w:ilvl w:val="1"/>
        <w:numId w:val="44"/>
      </w:numPr>
      <w:spacing w:before="200" w:after="0" w:line="276" w:lineRule="auto"/>
      <w:outlineLvl w:val="1"/>
    </w:pPr>
    <w:rPr>
      <w:color w:val="4472C4" w:themeColor="accent5"/>
      <w:szCs w:val="24"/>
    </w:rPr>
  </w:style>
  <w:style w:type="paragraph" w:styleId="Heading3">
    <w:name w:val="heading 3"/>
    <w:basedOn w:val="Normal"/>
    <w:next w:val="Normal"/>
    <w:link w:val="Heading3Char"/>
    <w:qFormat/>
    <w:rsid w:val="00DD7C08"/>
    <w:pPr>
      <w:keepNext/>
      <w:keepLines/>
      <w:numPr>
        <w:ilvl w:val="2"/>
        <w:numId w:val="44"/>
      </w:numPr>
      <w:spacing w:before="200" w:after="0" w:line="276" w:lineRule="auto"/>
      <w:outlineLvl w:val="2"/>
    </w:pPr>
    <w:rPr>
      <w:color w:val="4472C4" w:themeColor="accent5"/>
    </w:rPr>
  </w:style>
  <w:style w:type="paragraph" w:styleId="Heading4">
    <w:name w:val="heading 4"/>
    <w:basedOn w:val="Normal"/>
    <w:next w:val="Normal"/>
    <w:link w:val="Heading4Char"/>
    <w:uiPriority w:val="9"/>
    <w:qFormat/>
    <w:pPr>
      <w:keepNext/>
      <w:keepLines/>
      <w:numPr>
        <w:ilvl w:val="3"/>
        <w:numId w:val="44"/>
      </w:numPr>
      <w:spacing w:before="240" w:after="40"/>
      <w:contextualSpacing/>
      <w:outlineLvl w:val="3"/>
    </w:pPr>
    <w:rPr>
      <w:b/>
      <w:sz w:val="24"/>
      <w:szCs w:val="24"/>
    </w:rPr>
  </w:style>
  <w:style w:type="paragraph" w:styleId="Heading5">
    <w:name w:val="heading 5"/>
    <w:basedOn w:val="Normal"/>
    <w:next w:val="Normal"/>
    <w:link w:val="Heading5Char"/>
    <w:uiPriority w:val="9"/>
    <w:qFormat/>
    <w:pPr>
      <w:keepNext/>
      <w:keepLines/>
      <w:numPr>
        <w:ilvl w:val="4"/>
        <w:numId w:val="44"/>
      </w:numPr>
      <w:spacing w:before="220" w:after="40"/>
      <w:contextualSpacing/>
      <w:outlineLvl w:val="4"/>
    </w:pPr>
    <w:rPr>
      <w:b/>
    </w:rPr>
  </w:style>
  <w:style w:type="paragraph" w:styleId="Heading6">
    <w:name w:val="heading 6"/>
    <w:basedOn w:val="Normal"/>
    <w:next w:val="Normal"/>
    <w:qFormat/>
    <w:pPr>
      <w:keepNext/>
      <w:keepLines/>
      <w:numPr>
        <w:ilvl w:val="5"/>
        <w:numId w:val="44"/>
      </w:numPr>
      <w:spacing w:before="200" w:after="40"/>
      <w:contextualSpacing/>
      <w:outlineLvl w:val="5"/>
    </w:pPr>
    <w:rPr>
      <w:b/>
      <w:sz w:val="20"/>
      <w:szCs w:val="20"/>
    </w:rPr>
  </w:style>
  <w:style w:type="paragraph" w:styleId="Heading7">
    <w:name w:val="heading 7"/>
    <w:basedOn w:val="Normal"/>
    <w:next w:val="Normal"/>
    <w:link w:val="Heading7Char"/>
    <w:uiPriority w:val="9"/>
    <w:semiHidden/>
    <w:unhideWhenUsed/>
    <w:qFormat/>
    <w:rsid w:val="00B228B9"/>
    <w:pPr>
      <w:keepNext/>
      <w:keepLines/>
      <w:numPr>
        <w:ilvl w:val="6"/>
        <w:numId w:val="4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2587F"/>
    <w:pPr>
      <w:keepNext/>
      <w:keepLines/>
      <w:numPr>
        <w:ilvl w:val="7"/>
        <w:numId w:val="4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587F"/>
    <w:pPr>
      <w:keepNext/>
      <w:keepLines/>
      <w:numPr>
        <w:ilvl w:val="8"/>
        <w:numId w:val="4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rPr>
      <w:color w:val="7B7B7B"/>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A5A5A5"/>
          <w:left w:val="nil"/>
          <w:bottom w:val="single" w:sz="8" w:space="0" w:color="A5A5A5"/>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A5A5A5"/>
          <w:left w:val="nil"/>
          <w:bottom w:val="single" w:sz="8" w:space="0" w:color="A5A5A5"/>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E8E8E8"/>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E8E8E8"/>
        <w:tcMar>
          <w:top w:w="0" w:type="nil"/>
          <w:left w:w="115" w:type="dxa"/>
          <w:bottom w:w="0" w:type="nil"/>
          <w:right w:w="115" w:type="dxa"/>
        </w:tcMar>
      </w:tcPr>
    </w:tblStyle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B5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EA1"/>
    <w:rPr>
      <w:rFonts w:ascii="Segoe UI" w:hAnsi="Segoe UI" w:cs="Segoe UI"/>
      <w:sz w:val="18"/>
      <w:szCs w:val="18"/>
    </w:rPr>
  </w:style>
  <w:style w:type="paragraph" w:styleId="FootnoteText">
    <w:name w:val="footnote text"/>
    <w:basedOn w:val="Normal"/>
    <w:link w:val="FootnoteTextChar"/>
    <w:uiPriority w:val="99"/>
    <w:unhideWhenUsed/>
    <w:rsid w:val="00F05A01"/>
    <w:pPr>
      <w:spacing w:after="0" w:line="240" w:lineRule="auto"/>
    </w:pPr>
    <w:rPr>
      <w:sz w:val="20"/>
      <w:szCs w:val="20"/>
    </w:rPr>
  </w:style>
  <w:style w:type="character" w:customStyle="1" w:styleId="FootnoteTextChar">
    <w:name w:val="Footnote Text Char"/>
    <w:basedOn w:val="DefaultParagraphFont"/>
    <w:link w:val="FootnoteText"/>
    <w:uiPriority w:val="99"/>
    <w:rsid w:val="00F05A01"/>
    <w:rPr>
      <w:sz w:val="20"/>
      <w:szCs w:val="20"/>
    </w:rPr>
  </w:style>
  <w:style w:type="character" w:styleId="FootnoteReference">
    <w:name w:val="footnote reference"/>
    <w:basedOn w:val="DefaultParagraphFont"/>
    <w:uiPriority w:val="99"/>
    <w:unhideWhenUsed/>
    <w:rsid w:val="00F05A01"/>
    <w:rPr>
      <w:vertAlign w:val="superscript"/>
    </w:rPr>
  </w:style>
  <w:style w:type="paragraph" w:styleId="ListParagraph">
    <w:name w:val="List Paragraph"/>
    <w:basedOn w:val="Normal"/>
    <w:uiPriority w:val="1"/>
    <w:qFormat/>
    <w:rsid w:val="006715A7"/>
    <w:pPr>
      <w:ind w:left="720"/>
      <w:contextualSpacing/>
    </w:pPr>
  </w:style>
  <w:style w:type="character" w:styleId="Hyperlink">
    <w:name w:val="Hyperlink"/>
    <w:basedOn w:val="DefaultParagraphFont"/>
    <w:uiPriority w:val="99"/>
    <w:unhideWhenUsed/>
    <w:rsid w:val="0006117C"/>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B12BD4"/>
    <w:rPr>
      <w:b/>
      <w:bCs/>
    </w:rPr>
  </w:style>
  <w:style w:type="character" w:customStyle="1" w:styleId="CommentSubjectChar">
    <w:name w:val="Comment Subject Char"/>
    <w:basedOn w:val="CommentTextChar"/>
    <w:link w:val="CommentSubject"/>
    <w:uiPriority w:val="99"/>
    <w:semiHidden/>
    <w:rsid w:val="00B12BD4"/>
    <w:rPr>
      <w:b/>
      <w:bCs/>
      <w:sz w:val="20"/>
      <w:szCs w:val="20"/>
    </w:rPr>
  </w:style>
  <w:style w:type="paragraph" w:styleId="Header">
    <w:name w:val="header"/>
    <w:basedOn w:val="Normal"/>
    <w:link w:val="HeaderChar"/>
    <w:uiPriority w:val="99"/>
    <w:unhideWhenUsed/>
    <w:rsid w:val="00F26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FEA"/>
  </w:style>
  <w:style w:type="paragraph" w:styleId="Footer">
    <w:name w:val="footer"/>
    <w:basedOn w:val="Normal"/>
    <w:link w:val="FooterChar"/>
    <w:uiPriority w:val="99"/>
    <w:unhideWhenUsed/>
    <w:rsid w:val="00F26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FEA"/>
  </w:style>
  <w:style w:type="paragraph" w:styleId="TOCHeading">
    <w:name w:val="TOC Heading"/>
    <w:basedOn w:val="Heading1"/>
    <w:next w:val="Normal"/>
    <w:uiPriority w:val="39"/>
    <w:unhideWhenUsed/>
    <w:qFormat/>
    <w:rsid w:val="0017444E"/>
  </w:style>
  <w:style w:type="paragraph" w:styleId="TOC1">
    <w:name w:val="toc 1"/>
    <w:basedOn w:val="Normal"/>
    <w:next w:val="Normal"/>
    <w:autoRedefine/>
    <w:uiPriority w:val="39"/>
    <w:unhideWhenUsed/>
    <w:rsid w:val="00A869D1"/>
    <w:pPr>
      <w:tabs>
        <w:tab w:val="left" w:pos="440"/>
        <w:tab w:val="right" w:leader="dot" w:pos="9350"/>
      </w:tabs>
      <w:spacing w:after="100"/>
    </w:pPr>
  </w:style>
  <w:style w:type="paragraph" w:styleId="TOC2">
    <w:name w:val="toc 2"/>
    <w:basedOn w:val="Normal"/>
    <w:next w:val="Normal"/>
    <w:autoRedefine/>
    <w:uiPriority w:val="39"/>
    <w:unhideWhenUsed/>
    <w:rsid w:val="0064286F"/>
    <w:pPr>
      <w:spacing w:after="100"/>
      <w:ind w:left="220"/>
    </w:pPr>
  </w:style>
  <w:style w:type="paragraph" w:styleId="TOC3">
    <w:name w:val="toc 3"/>
    <w:basedOn w:val="Normal"/>
    <w:next w:val="Normal"/>
    <w:autoRedefine/>
    <w:uiPriority w:val="39"/>
    <w:unhideWhenUsed/>
    <w:rsid w:val="0091666A"/>
    <w:pPr>
      <w:spacing w:after="100"/>
      <w:ind w:left="440"/>
    </w:pPr>
  </w:style>
  <w:style w:type="paragraph" w:styleId="TOC4">
    <w:name w:val="toc 4"/>
    <w:basedOn w:val="Normal"/>
    <w:next w:val="Normal"/>
    <w:autoRedefine/>
    <w:uiPriority w:val="39"/>
    <w:unhideWhenUsed/>
    <w:rsid w:val="0091666A"/>
    <w:pPr>
      <w:spacing w:after="100"/>
      <w:ind w:left="660"/>
    </w:pPr>
  </w:style>
  <w:style w:type="paragraph" w:styleId="TOC5">
    <w:name w:val="toc 5"/>
    <w:basedOn w:val="Normal"/>
    <w:next w:val="Normal"/>
    <w:autoRedefine/>
    <w:uiPriority w:val="39"/>
    <w:unhideWhenUsed/>
    <w:rsid w:val="00B228B9"/>
    <w:pPr>
      <w:spacing w:after="100"/>
      <w:ind w:left="880"/>
    </w:pPr>
  </w:style>
  <w:style w:type="paragraph" w:styleId="TOC6">
    <w:name w:val="toc 6"/>
    <w:basedOn w:val="Normal"/>
    <w:next w:val="Normal"/>
    <w:autoRedefine/>
    <w:uiPriority w:val="39"/>
    <w:unhideWhenUsed/>
    <w:rsid w:val="00B228B9"/>
    <w:pPr>
      <w:spacing w:after="100"/>
      <w:ind w:left="1100"/>
    </w:pPr>
  </w:style>
  <w:style w:type="character" w:customStyle="1" w:styleId="Heading7Char">
    <w:name w:val="Heading 7 Char"/>
    <w:basedOn w:val="DefaultParagraphFont"/>
    <w:link w:val="Heading7"/>
    <w:uiPriority w:val="9"/>
    <w:semiHidden/>
    <w:rsid w:val="00B228B9"/>
    <w:rPr>
      <w:rFonts w:asciiTheme="majorHAnsi" w:eastAsiaTheme="majorEastAsia" w:hAnsiTheme="majorHAnsi" w:cstheme="majorBidi"/>
      <w:i/>
      <w:iCs/>
      <w:color w:val="1F4D78" w:themeColor="accent1" w:themeShade="7F"/>
    </w:rPr>
  </w:style>
  <w:style w:type="paragraph" w:styleId="TOC7">
    <w:name w:val="toc 7"/>
    <w:basedOn w:val="Normal"/>
    <w:next w:val="Normal"/>
    <w:autoRedefine/>
    <w:uiPriority w:val="39"/>
    <w:unhideWhenUsed/>
    <w:rsid w:val="00B228B9"/>
    <w:pPr>
      <w:spacing w:after="100"/>
      <w:ind w:left="1320"/>
    </w:pPr>
  </w:style>
  <w:style w:type="paragraph" w:styleId="Caption">
    <w:name w:val="caption"/>
    <w:basedOn w:val="Normal"/>
    <w:next w:val="Normal"/>
    <w:uiPriority w:val="35"/>
    <w:unhideWhenUsed/>
    <w:qFormat/>
    <w:rsid w:val="00BB69C0"/>
    <w:pPr>
      <w:spacing w:after="200" w:line="240" w:lineRule="auto"/>
    </w:pPr>
    <w:rPr>
      <w:b/>
      <w:iCs/>
      <w:color w:val="000000" w:themeColor="text1"/>
      <w:szCs w:val="18"/>
    </w:rPr>
  </w:style>
  <w:style w:type="paragraph" w:styleId="TableofFigures">
    <w:name w:val="table of figures"/>
    <w:basedOn w:val="Normal"/>
    <w:next w:val="Normal"/>
    <w:uiPriority w:val="99"/>
    <w:unhideWhenUsed/>
    <w:rsid w:val="00945099"/>
    <w:pPr>
      <w:spacing w:after="0"/>
    </w:pPr>
  </w:style>
  <w:style w:type="character" w:styleId="FollowedHyperlink">
    <w:name w:val="FollowedHyperlink"/>
    <w:basedOn w:val="DefaultParagraphFont"/>
    <w:uiPriority w:val="99"/>
    <w:semiHidden/>
    <w:unhideWhenUsed/>
    <w:rsid w:val="00E10845"/>
    <w:rPr>
      <w:color w:val="954F72" w:themeColor="followedHyperlink"/>
      <w:u w:val="single"/>
    </w:rPr>
  </w:style>
  <w:style w:type="character" w:styleId="SubtleEmphasis">
    <w:name w:val="Subtle Emphasis"/>
    <w:basedOn w:val="DefaultParagraphFont"/>
    <w:uiPriority w:val="19"/>
    <w:qFormat/>
    <w:rsid w:val="00A9080E"/>
    <w:rPr>
      <w:i/>
      <w:iCs/>
      <w:color w:val="404040" w:themeColor="text1" w:themeTint="BF"/>
    </w:rPr>
  </w:style>
  <w:style w:type="character" w:customStyle="1" w:styleId="Heading3Char">
    <w:name w:val="Heading 3 Char"/>
    <w:basedOn w:val="DefaultParagraphFont"/>
    <w:link w:val="Heading3"/>
    <w:rsid w:val="00DD7C08"/>
    <w:rPr>
      <w:color w:val="4472C4" w:themeColor="accent5"/>
    </w:rPr>
  </w:style>
  <w:style w:type="character" w:styleId="Mention">
    <w:name w:val="Mention"/>
    <w:basedOn w:val="DefaultParagraphFont"/>
    <w:uiPriority w:val="99"/>
    <w:unhideWhenUsed/>
    <w:rsid w:val="008C2CFF"/>
    <w:rPr>
      <w:color w:val="2B579A"/>
      <w:shd w:val="clear" w:color="auto" w:fill="E6E6E6"/>
    </w:rPr>
  </w:style>
  <w:style w:type="table" w:styleId="TableGrid">
    <w:name w:val="Table Grid"/>
    <w:aliases w:val="Signature Table"/>
    <w:basedOn w:val="TableNormal"/>
    <w:uiPriority w:val="39"/>
    <w:rsid w:val="008C2CFF"/>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2CFF"/>
    <w:pPr>
      <w:spacing w:after="0" w:line="240" w:lineRule="auto"/>
    </w:pPr>
    <w:rPr>
      <w:rFonts w:asciiTheme="minorHAnsi" w:eastAsiaTheme="minorHAnsi" w:hAnsiTheme="minorHAnsi" w:cstheme="minorBidi"/>
      <w:color w:val="auto"/>
    </w:rPr>
  </w:style>
  <w:style w:type="paragraph" w:styleId="EndnoteText">
    <w:name w:val="endnote text"/>
    <w:basedOn w:val="Normal"/>
    <w:link w:val="EndnoteTextChar"/>
    <w:uiPriority w:val="99"/>
    <w:semiHidden/>
    <w:unhideWhenUsed/>
    <w:rsid w:val="008C2CFF"/>
    <w:pPr>
      <w:spacing w:after="0" w:line="240" w:lineRule="auto"/>
    </w:pPr>
    <w:rPr>
      <w:rFonts w:asciiTheme="minorHAnsi" w:eastAsiaTheme="minorHAnsi" w:hAnsiTheme="minorHAnsi" w:cstheme="minorBidi"/>
      <w:color w:val="auto"/>
      <w:sz w:val="20"/>
      <w:szCs w:val="20"/>
    </w:rPr>
  </w:style>
  <w:style w:type="character" w:customStyle="1" w:styleId="EndnoteTextChar">
    <w:name w:val="Endnote Text Char"/>
    <w:basedOn w:val="DefaultParagraphFont"/>
    <w:link w:val="EndnoteText"/>
    <w:uiPriority w:val="99"/>
    <w:semiHidden/>
    <w:rsid w:val="008C2CFF"/>
    <w:rPr>
      <w:rFonts w:asciiTheme="minorHAnsi" w:eastAsiaTheme="minorHAnsi" w:hAnsiTheme="minorHAnsi" w:cstheme="minorBidi"/>
      <w:color w:val="auto"/>
      <w:sz w:val="20"/>
      <w:szCs w:val="20"/>
    </w:rPr>
  </w:style>
  <w:style w:type="character" w:styleId="EndnoteReference">
    <w:name w:val="endnote reference"/>
    <w:basedOn w:val="DefaultParagraphFont"/>
    <w:uiPriority w:val="99"/>
    <w:semiHidden/>
    <w:unhideWhenUsed/>
    <w:rsid w:val="008C2CFF"/>
    <w:rPr>
      <w:vertAlign w:val="superscript"/>
    </w:rPr>
  </w:style>
  <w:style w:type="character" w:styleId="Emphasis">
    <w:name w:val="Emphasis"/>
    <w:basedOn w:val="DefaultParagraphFont"/>
    <w:uiPriority w:val="20"/>
    <w:qFormat/>
    <w:rsid w:val="008C2CFF"/>
    <w:rPr>
      <w:i/>
      <w:iCs/>
    </w:rPr>
  </w:style>
  <w:style w:type="character" w:customStyle="1" w:styleId="Heading1Char">
    <w:name w:val="Heading 1 Char"/>
    <w:basedOn w:val="DefaultParagraphFont"/>
    <w:link w:val="Heading1"/>
    <w:uiPriority w:val="9"/>
    <w:rsid w:val="002C29BA"/>
    <w:rPr>
      <w:color w:val="2E75B5"/>
      <w:sz w:val="24"/>
      <w:szCs w:val="28"/>
    </w:rPr>
  </w:style>
  <w:style w:type="character" w:customStyle="1" w:styleId="Heading4Char">
    <w:name w:val="Heading 4 Char"/>
    <w:basedOn w:val="DefaultParagraphFont"/>
    <w:link w:val="Heading4"/>
    <w:uiPriority w:val="9"/>
    <w:rsid w:val="008C2CFF"/>
    <w:rPr>
      <w:b/>
      <w:sz w:val="24"/>
      <w:szCs w:val="24"/>
    </w:rPr>
  </w:style>
  <w:style w:type="character" w:customStyle="1" w:styleId="Heading2Char">
    <w:name w:val="Heading 2 Char"/>
    <w:basedOn w:val="DefaultParagraphFont"/>
    <w:link w:val="Heading2"/>
    <w:uiPriority w:val="9"/>
    <w:rsid w:val="00C34FEE"/>
    <w:rPr>
      <w:color w:val="4472C4" w:themeColor="accent5"/>
      <w:szCs w:val="24"/>
    </w:rPr>
  </w:style>
  <w:style w:type="paragraph" w:styleId="NormalWeb">
    <w:name w:val="Normal (Web)"/>
    <w:basedOn w:val="Normal"/>
    <w:uiPriority w:val="99"/>
    <w:semiHidden/>
    <w:unhideWhenUsed/>
    <w:rsid w:val="008C2CF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lainText">
    <w:name w:val="Plain Text"/>
    <w:basedOn w:val="Normal"/>
    <w:link w:val="PlainTextChar"/>
    <w:uiPriority w:val="99"/>
    <w:unhideWhenUsed/>
    <w:rsid w:val="008C2CFF"/>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rsid w:val="008C2CFF"/>
    <w:rPr>
      <w:rFonts w:eastAsiaTheme="minorHAnsi" w:cstheme="minorBidi"/>
      <w:color w:val="auto"/>
      <w:szCs w:val="21"/>
    </w:rPr>
  </w:style>
  <w:style w:type="character" w:customStyle="1" w:styleId="normaltextrun1">
    <w:name w:val="normaltextrun1"/>
    <w:basedOn w:val="DefaultParagraphFont"/>
    <w:rsid w:val="008C2CFF"/>
  </w:style>
  <w:style w:type="character" w:styleId="PlaceholderText">
    <w:name w:val="Placeholder Text"/>
    <w:basedOn w:val="DefaultParagraphFont"/>
    <w:uiPriority w:val="99"/>
    <w:semiHidden/>
    <w:rsid w:val="008C2CFF"/>
    <w:rPr>
      <w:color w:val="808080"/>
    </w:rPr>
  </w:style>
  <w:style w:type="character" w:customStyle="1" w:styleId="Heading5Char">
    <w:name w:val="Heading 5 Char"/>
    <w:basedOn w:val="DefaultParagraphFont"/>
    <w:link w:val="Heading5"/>
    <w:uiPriority w:val="9"/>
    <w:rsid w:val="008C2CFF"/>
    <w:rPr>
      <w:b/>
    </w:rPr>
  </w:style>
  <w:style w:type="paragraph" w:styleId="NoSpacing">
    <w:name w:val="No Spacing"/>
    <w:uiPriority w:val="1"/>
    <w:qFormat/>
    <w:rsid w:val="008C2CFF"/>
    <w:pPr>
      <w:spacing w:after="0" w:line="240" w:lineRule="auto"/>
    </w:pPr>
    <w:rPr>
      <w:rFonts w:asciiTheme="minorHAnsi" w:eastAsiaTheme="minorHAnsi" w:hAnsiTheme="minorHAnsi" w:cstheme="minorBidi"/>
      <w:color w:val="auto"/>
    </w:rPr>
  </w:style>
  <w:style w:type="paragraph" w:customStyle="1" w:styleId="Default">
    <w:name w:val="Default"/>
    <w:rsid w:val="008C2CFF"/>
    <w:pPr>
      <w:autoSpaceDE w:val="0"/>
      <w:autoSpaceDN w:val="0"/>
      <w:adjustRightInd w:val="0"/>
      <w:spacing w:after="0" w:line="240" w:lineRule="auto"/>
    </w:pPr>
    <w:rPr>
      <w:rFonts w:ascii="Times New Roman" w:eastAsiaTheme="minorHAnsi" w:hAnsi="Times New Roman" w:cs="Times New Roman"/>
      <w:sz w:val="24"/>
      <w:szCs w:val="24"/>
    </w:rPr>
  </w:style>
  <w:style w:type="paragraph" w:customStyle="1" w:styleId="paragraph">
    <w:name w:val="paragraph"/>
    <w:basedOn w:val="Normal"/>
    <w:rsid w:val="0020739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20739C"/>
  </w:style>
  <w:style w:type="character" w:customStyle="1" w:styleId="eop">
    <w:name w:val="eop"/>
    <w:basedOn w:val="DefaultParagraphFont"/>
    <w:rsid w:val="0020739C"/>
  </w:style>
  <w:style w:type="character" w:styleId="UnresolvedMention">
    <w:name w:val="Unresolved Mention"/>
    <w:basedOn w:val="DefaultParagraphFont"/>
    <w:uiPriority w:val="99"/>
    <w:unhideWhenUsed/>
    <w:rsid w:val="00667162"/>
    <w:rPr>
      <w:color w:val="605E5C"/>
      <w:shd w:val="clear" w:color="auto" w:fill="E1DFDD"/>
    </w:rPr>
  </w:style>
  <w:style w:type="character" w:customStyle="1" w:styleId="Heading8Char">
    <w:name w:val="Heading 8 Char"/>
    <w:basedOn w:val="DefaultParagraphFont"/>
    <w:link w:val="Heading8"/>
    <w:uiPriority w:val="9"/>
    <w:semiHidden/>
    <w:rsid w:val="0072587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2587F"/>
    <w:rPr>
      <w:rFonts w:asciiTheme="majorHAnsi" w:eastAsiaTheme="majorEastAsia" w:hAnsiTheme="majorHAnsi" w:cstheme="majorBidi"/>
      <w:i/>
      <w:iCs/>
      <w:color w:val="272727" w:themeColor="text1" w:themeTint="D8"/>
      <w:sz w:val="21"/>
      <w:szCs w:val="21"/>
    </w:rPr>
  </w:style>
  <w:style w:type="paragraph" w:customStyle="1" w:styleId="EndNoteBibliographyTitle">
    <w:name w:val="EndNote Bibliography Title"/>
    <w:basedOn w:val="Normal"/>
    <w:link w:val="EndNoteBibliographyTitleChar"/>
    <w:rsid w:val="00D33A74"/>
    <w:pPr>
      <w:spacing w:after="0"/>
      <w:jc w:val="center"/>
    </w:pPr>
    <w:rPr>
      <w:noProof/>
    </w:rPr>
  </w:style>
  <w:style w:type="character" w:customStyle="1" w:styleId="EndNoteBibliographyTitleChar">
    <w:name w:val="EndNote Bibliography Title Char"/>
    <w:basedOn w:val="DefaultParagraphFont"/>
    <w:link w:val="EndNoteBibliographyTitle"/>
    <w:rsid w:val="00D33A74"/>
    <w:rPr>
      <w:noProof/>
    </w:rPr>
  </w:style>
  <w:style w:type="paragraph" w:customStyle="1" w:styleId="EndNoteBibliography">
    <w:name w:val="EndNote Bibliography"/>
    <w:basedOn w:val="Normal"/>
    <w:link w:val="EndNoteBibliographyChar"/>
    <w:rsid w:val="00D33A74"/>
    <w:pPr>
      <w:spacing w:line="240" w:lineRule="auto"/>
    </w:pPr>
    <w:rPr>
      <w:noProof/>
    </w:rPr>
  </w:style>
  <w:style w:type="character" w:customStyle="1" w:styleId="EndNoteBibliographyChar">
    <w:name w:val="EndNote Bibliography Char"/>
    <w:basedOn w:val="DefaultParagraphFont"/>
    <w:link w:val="EndNoteBibliography"/>
    <w:rsid w:val="00D33A74"/>
    <w:rPr>
      <w:noProof/>
    </w:rPr>
  </w:style>
  <w:style w:type="character" w:customStyle="1" w:styleId="spellingerror">
    <w:name w:val="spellingerror"/>
    <w:basedOn w:val="DefaultParagraphFont"/>
    <w:rsid w:val="004B079E"/>
  </w:style>
  <w:style w:type="character" w:customStyle="1" w:styleId="contextualspellingandgrammarerror">
    <w:name w:val="contextualspellingandgrammarerror"/>
    <w:basedOn w:val="DefaultParagraphFont"/>
    <w:rsid w:val="004B079E"/>
  </w:style>
  <w:style w:type="character" w:customStyle="1" w:styleId="breakword">
    <w:name w:val="breakword"/>
    <w:basedOn w:val="DefaultParagraphFont"/>
    <w:rsid w:val="00A16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296842">
      <w:bodyDiv w:val="1"/>
      <w:marLeft w:val="0"/>
      <w:marRight w:val="0"/>
      <w:marTop w:val="0"/>
      <w:marBottom w:val="0"/>
      <w:divBdr>
        <w:top w:val="none" w:sz="0" w:space="0" w:color="auto"/>
        <w:left w:val="none" w:sz="0" w:space="0" w:color="auto"/>
        <w:bottom w:val="none" w:sz="0" w:space="0" w:color="auto"/>
        <w:right w:val="none" w:sz="0" w:space="0" w:color="auto"/>
      </w:divBdr>
    </w:div>
    <w:div w:id="780345439">
      <w:bodyDiv w:val="1"/>
      <w:marLeft w:val="0"/>
      <w:marRight w:val="0"/>
      <w:marTop w:val="0"/>
      <w:marBottom w:val="0"/>
      <w:divBdr>
        <w:top w:val="none" w:sz="0" w:space="0" w:color="auto"/>
        <w:left w:val="none" w:sz="0" w:space="0" w:color="auto"/>
        <w:bottom w:val="none" w:sz="0" w:space="0" w:color="auto"/>
        <w:right w:val="none" w:sz="0" w:space="0" w:color="auto"/>
      </w:divBdr>
    </w:div>
    <w:div w:id="895701367">
      <w:bodyDiv w:val="1"/>
      <w:marLeft w:val="0"/>
      <w:marRight w:val="0"/>
      <w:marTop w:val="0"/>
      <w:marBottom w:val="0"/>
      <w:divBdr>
        <w:top w:val="none" w:sz="0" w:space="0" w:color="auto"/>
        <w:left w:val="none" w:sz="0" w:space="0" w:color="auto"/>
        <w:bottom w:val="none" w:sz="0" w:space="0" w:color="auto"/>
        <w:right w:val="none" w:sz="0" w:space="0" w:color="auto"/>
      </w:divBdr>
    </w:div>
    <w:div w:id="970473710">
      <w:bodyDiv w:val="1"/>
      <w:marLeft w:val="0"/>
      <w:marRight w:val="0"/>
      <w:marTop w:val="0"/>
      <w:marBottom w:val="0"/>
      <w:divBdr>
        <w:top w:val="none" w:sz="0" w:space="0" w:color="auto"/>
        <w:left w:val="none" w:sz="0" w:space="0" w:color="auto"/>
        <w:bottom w:val="none" w:sz="0" w:space="0" w:color="auto"/>
        <w:right w:val="none" w:sz="0" w:space="0" w:color="auto"/>
      </w:divBdr>
    </w:div>
    <w:div w:id="1058239902">
      <w:bodyDiv w:val="1"/>
      <w:marLeft w:val="0"/>
      <w:marRight w:val="0"/>
      <w:marTop w:val="0"/>
      <w:marBottom w:val="0"/>
      <w:divBdr>
        <w:top w:val="none" w:sz="0" w:space="0" w:color="auto"/>
        <w:left w:val="none" w:sz="0" w:space="0" w:color="auto"/>
        <w:bottom w:val="none" w:sz="0" w:space="0" w:color="auto"/>
        <w:right w:val="none" w:sz="0" w:space="0" w:color="auto"/>
      </w:divBdr>
    </w:div>
    <w:div w:id="1331105282">
      <w:bodyDiv w:val="1"/>
      <w:marLeft w:val="0"/>
      <w:marRight w:val="0"/>
      <w:marTop w:val="0"/>
      <w:marBottom w:val="0"/>
      <w:divBdr>
        <w:top w:val="none" w:sz="0" w:space="0" w:color="auto"/>
        <w:left w:val="none" w:sz="0" w:space="0" w:color="auto"/>
        <w:bottom w:val="none" w:sz="0" w:space="0" w:color="auto"/>
        <w:right w:val="none" w:sz="0" w:space="0" w:color="auto"/>
      </w:divBdr>
    </w:div>
    <w:div w:id="1368791846">
      <w:bodyDiv w:val="1"/>
      <w:marLeft w:val="0"/>
      <w:marRight w:val="0"/>
      <w:marTop w:val="0"/>
      <w:marBottom w:val="0"/>
      <w:divBdr>
        <w:top w:val="none" w:sz="0" w:space="0" w:color="auto"/>
        <w:left w:val="none" w:sz="0" w:space="0" w:color="auto"/>
        <w:bottom w:val="none" w:sz="0" w:space="0" w:color="auto"/>
        <w:right w:val="none" w:sz="0" w:space="0" w:color="auto"/>
      </w:divBdr>
      <w:divsChild>
        <w:div w:id="317462844">
          <w:marLeft w:val="0"/>
          <w:marRight w:val="0"/>
          <w:marTop w:val="0"/>
          <w:marBottom w:val="0"/>
          <w:divBdr>
            <w:top w:val="none" w:sz="0" w:space="0" w:color="auto"/>
            <w:left w:val="none" w:sz="0" w:space="0" w:color="auto"/>
            <w:bottom w:val="none" w:sz="0" w:space="0" w:color="auto"/>
            <w:right w:val="none" w:sz="0" w:space="0" w:color="auto"/>
          </w:divBdr>
        </w:div>
        <w:div w:id="462161688">
          <w:marLeft w:val="0"/>
          <w:marRight w:val="0"/>
          <w:marTop w:val="0"/>
          <w:marBottom w:val="0"/>
          <w:divBdr>
            <w:top w:val="none" w:sz="0" w:space="0" w:color="auto"/>
            <w:left w:val="none" w:sz="0" w:space="0" w:color="auto"/>
            <w:bottom w:val="none" w:sz="0" w:space="0" w:color="auto"/>
            <w:right w:val="none" w:sz="0" w:space="0" w:color="auto"/>
          </w:divBdr>
        </w:div>
        <w:div w:id="673993582">
          <w:marLeft w:val="0"/>
          <w:marRight w:val="0"/>
          <w:marTop w:val="0"/>
          <w:marBottom w:val="0"/>
          <w:divBdr>
            <w:top w:val="none" w:sz="0" w:space="0" w:color="auto"/>
            <w:left w:val="none" w:sz="0" w:space="0" w:color="auto"/>
            <w:bottom w:val="none" w:sz="0" w:space="0" w:color="auto"/>
            <w:right w:val="none" w:sz="0" w:space="0" w:color="auto"/>
          </w:divBdr>
        </w:div>
        <w:div w:id="884416633">
          <w:marLeft w:val="0"/>
          <w:marRight w:val="0"/>
          <w:marTop w:val="0"/>
          <w:marBottom w:val="0"/>
          <w:divBdr>
            <w:top w:val="none" w:sz="0" w:space="0" w:color="auto"/>
            <w:left w:val="none" w:sz="0" w:space="0" w:color="auto"/>
            <w:bottom w:val="none" w:sz="0" w:space="0" w:color="auto"/>
            <w:right w:val="none" w:sz="0" w:space="0" w:color="auto"/>
          </w:divBdr>
        </w:div>
        <w:div w:id="1024674252">
          <w:marLeft w:val="0"/>
          <w:marRight w:val="0"/>
          <w:marTop w:val="0"/>
          <w:marBottom w:val="0"/>
          <w:divBdr>
            <w:top w:val="none" w:sz="0" w:space="0" w:color="auto"/>
            <w:left w:val="none" w:sz="0" w:space="0" w:color="auto"/>
            <w:bottom w:val="none" w:sz="0" w:space="0" w:color="auto"/>
            <w:right w:val="none" w:sz="0" w:space="0" w:color="auto"/>
          </w:divBdr>
          <w:divsChild>
            <w:div w:id="1069960846">
              <w:marLeft w:val="-75"/>
              <w:marRight w:val="0"/>
              <w:marTop w:val="30"/>
              <w:marBottom w:val="30"/>
              <w:divBdr>
                <w:top w:val="none" w:sz="0" w:space="0" w:color="auto"/>
                <w:left w:val="none" w:sz="0" w:space="0" w:color="auto"/>
                <w:bottom w:val="none" w:sz="0" w:space="0" w:color="auto"/>
                <w:right w:val="none" w:sz="0" w:space="0" w:color="auto"/>
              </w:divBdr>
              <w:divsChild>
                <w:div w:id="157968405">
                  <w:marLeft w:val="0"/>
                  <w:marRight w:val="0"/>
                  <w:marTop w:val="0"/>
                  <w:marBottom w:val="0"/>
                  <w:divBdr>
                    <w:top w:val="none" w:sz="0" w:space="0" w:color="auto"/>
                    <w:left w:val="none" w:sz="0" w:space="0" w:color="auto"/>
                    <w:bottom w:val="none" w:sz="0" w:space="0" w:color="auto"/>
                    <w:right w:val="none" w:sz="0" w:space="0" w:color="auto"/>
                  </w:divBdr>
                  <w:divsChild>
                    <w:div w:id="530414791">
                      <w:marLeft w:val="0"/>
                      <w:marRight w:val="0"/>
                      <w:marTop w:val="0"/>
                      <w:marBottom w:val="0"/>
                      <w:divBdr>
                        <w:top w:val="none" w:sz="0" w:space="0" w:color="auto"/>
                        <w:left w:val="none" w:sz="0" w:space="0" w:color="auto"/>
                        <w:bottom w:val="none" w:sz="0" w:space="0" w:color="auto"/>
                        <w:right w:val="none" w:sz="0" w:space="0" w:color="auto"/>
                      </w:divBdr>
                    </w:div>
                  </w:divsChild>
                </w:div>
                <w:div w:id="233857892">
                  <w:marLeft w:val="0"/>
                  <w:marRight w:val="0"/>
                  <w:marTop w:val="0"/>
                  <w:marBottom w:val="0"/>
                  <w:divBdr>
                    <w:top w:val="none" w:sz="0" w:space="0" w:color="auto"/>
                    <w:left w:val="none" w:sz="0" w:space="0" w:color="auto"/>
                    <w:bottom w:val="none" w:sz="0" w:space="0" w:color="auto"/>
                    <w:right w:val="none" w:sz="0" w:space="0" w:color="auto"/>
                  </w:divBdr>
                  <w:divsChild>
                    <w:div w:id="1825931050">
                      <w:marLeft w:val="0"/>
                      <w:marRight w:val="0"/>
                      <w:marTop w:val="0"/>
                      <w:marBottom w:val="0"/>
                      <w:divBdr>
                        <w:top w:val="none" w:sz="0" w:space="0" w:color="auto"/>
                        <w:left w:val="none" w:sz="0" w:space="0" w:color="auto"/>
                        <w:bottom w:val="none" w:sz="0" w:space="0" w:color="auto"/>
                        <w:right w:val="none" w:sz="0" w:space="0" w:color="auto"/>
                      </w:divBdr>
                    </w:div>
                  </w:divsChild>
                </w:div>
                <w:div w:id="290941946">
                  <w:marLeft w:val="0"/>
                  <w:marRight w:val="0"/>
                  <w:marTop w:val="0"/>
                  <w:marBottom w:val="0"/>
                  <w:divBdr>
                    <w:top w:val="none" w:sz="0" w:space="0" w:color="auto"/>
                    <w:left w:val="none" w:sz="0" w:space="0" w:color="auto"/>
                    <w:bottom w:val="none" w:sz="0" w:space="0" w:color="auto"/>
                    <w:right w:val="none" w:sz="0" w:space="0" w:color="auto"/>
                  </w:divBdr>
                  <w:divsChild>
                    <w:div w:id="283000136">
                      <w:marLeft w:val="0"/>
                      <w:marRight w:val="0"/>
                      <w:marTop w:val="0"/>
                      <w:marBottom w:val="0"/>
                      <w:divBdr>
                        <w:top w:val="none" w:sz="0" w:space="0" w:color="auto"/>
                        <w:left w:val="none" w:sz="0" w:space="0" w:color="auto"/>
                        <w:bottom w:val="none" w:sz="0" w:space="0" w:color="auto"/>
                        <w:right w:val="none" w:sz="0" w:space="0" w:color="auto"/>
                      </w:divBdr>
                    </w:div>
                  </w:divsChild>
                </w:div>
                <w:div w:id="554632907">
                  <w:marLeft w:val="0"/>
                  <w:marRight w:val="0"/>
                  <w:marTop w:val="0"/>
                  <w:marBottom w:val="0"/>
                  <w:divBdr>
                    <w:top w:val="none" w:sz="0" w:space="0" w:color="auto"/>
                    <w:left w:val="none" w:sz="0" w:space="0" w:color="auto"/>
                    <w:bottom w:val="none" w:sz="0" w:space="0" w:color="auto"/>
                    <w:right w:val="none" w:sz="0" w:space="0" w:color="auto"/>
                  </w:divBdr>
                  <w:divsChild>
                    <w:div w:id="1604071882">
                      <w:marLeft w:val="0"/>
                      <w:marRight w:val="0"/>
                      <w:marTop w:val="0"/>
                      <w:marBottom w:val="0"/>
                      <w:divBdr>
                        <w:top w:val="none" w:sz="0" w:space="0" w:color="auto"/>
                        <w:left w:val="none" w:sz="0" w:space="0" w:color="auto"/>
                        <w:bottom w:val="none" w:sz="0" w:space="0" w:color="auto"/>
                        <w:right w:val="none" w:sz="0" w:space="0" w:color="auto"/>
                      </w:divBdr>
                    </w:div>
                  </w:divsChild>
                </w:div>
                <w:div w:id="651182643">
                  <w:marLeft w:val="0"/>
                  <w:marRight w:val="0"/>
                  <w:marTop w:val="0"/>
                  <w:marBottom w:val="0"/>
                  <w:divBdr>
                    <w:top w:val="none" w:sz="0" w:space="0" w:color="auto"/>
                    <w:left w:val="none" w:sz="0" w:space="0" w:color="auto"/>
                    <w:bottom w:val="none" w:sz="0" w:space="0" w:color="auto"/>
                    <w:right w:val="none" w:sz="0" w:space="0" w:color="auto"/>
                  </w:divBdr>
                  <w:divsChild>
                    <w:div w:id="180974427">
                      <w:marLeft w:val="0"/>
                      <w:marRight w:val="0"/>
                      <w:marTop w:val="0"/>
                      <w:marBottom w:val="0"/>
                      <w:divBdr>
                        <w:top w:val="none" w:sz="0" w:space="0" w:color="auto"/>
                        <w:left w:val="none" w:sz="0" w:space="0" w:color="auto"/>
                        <w:bottom w:val="none" w:sz="0" w:space="0" w:color="auto"/>
                        <w:right w:val="none" w:sz="0" w:space="0" w:color="auto"/>
                      </w:divBdr>
                    </w:div>
                  </w:divsChild>
                </w:div>
                <w:div w:id="1363825597">
                  <w:marLeft w:val="0"/>
                  <w:marRight w:val="0"/>
                  <w:marTop w:val="0"/>
                  <w:marBottom w:val="0"/>
                  <w:divBdr>
                    <w:top w:val="none" w:sz="0" w:space="0" w:color="auto"/>
                    <w:left w:val="none" w:sz="0" w:space="0" w:color="auto"/>
                    <w:bottom w:val="none" w:sz="0" w:space="0" w:color="auto"/>
                    <w:right w:val="none" w:sz="0" w:space="0" w:color="auto"/>
                  </w:divBdr>
                  <w:divsChild>
                    <w:div w:id="705907349">
                      <w:marLeft w:val="0"/>
                      <w:marRight w:val="0"/>
                      <w:marTop w:val="0"/>
                      <w:marBottom w:val="0"/>
                      <w:divBdr>
                        <w:top w:val="none" w:sz="0" w:space="0" w:color="auto"/>
                        <w:left w:val="none" w:sz="0" w:space="0" w:color="auto"/>
                        <w:bottom w:val="none" w:sz="0" w:space="0" w:color="auto"/>
                        <w:right w:val="none" w:sz="0" w:space="0" w:color="auto"/>
                      </w:divBdr>
                    </w:div>
                  </w:divsChild>
                </w:div>
                <w:div w:id="1892644989">
                  <w:marLeft w:val="0"/>
                  <w:marRight w:val="0"/>
                  <w:marTop w:val="0"/>
                  <w:marBottom w:val="0"/>
                  <w:divBdr>
                    <w:top w:val="none" w:sz="0" w:space="0" w:color="auto"/>
                    <w:left w:val="none" w:sz="0" w:space="0" w:color="auto"/>
                    <w:bottom w:val="none" w:sz="0" w:space="0" w:color="auto"/>
                    <w:right w:val="none" w:sz="0" w:space="0" w:color="auto"/>
                  </w:divBdr>
                  <w:divsChild>
                    <w:div w:id="1556047008">
                      <w:marLeft w:val="0"/>
                      <w:marRight w:val="0"/>
                      <w:marTop w:val="0"/>
                      <w:marBottom w:val="0"/>
                      <w:divBdr>
                        <w:top w:val="none" w:sz="0" w:space="0" w:color="auto"/>
                        <w:left w:val="none" w:sz="0" w:space="0" w:color="auto"/>
                        <w:bottom w:val="none" w:sz="0" w:space="0" w:color="auto"/>
                        <w:right w:val="none" w:sz="0" w:space="0" w:color="auto"/>
                      </w:divBdr>
                    </w:div>
                  </w:divsChild>
                </w:div>
                <w:div w:id="2113931430">
                  <w:marLeft w:val="0"/>
                  <w:marRight w:val="0"/>
                  <w:marTop w:val="0"/>
                  <w:marBottom w:val="0"/>
                  <w:divBdr>
                    <w:top w:val="none" w:sz="0" w:space="0" w:color="auto"/>
                    <w:left w:val="none" w:sz="0" w:space="0" w:color="auto"/>
                    <w:bottom w:val="none" w:sz="0" w:space="0" w:color="auto"/>
                    <w:right w:val="none" w:sz="0" w:space="0" w:color="auto"/>
                  </w:divBdr>
                  <w:divsChild>
                    <w:div w:id="2090153924">
                      <w:marLeft w:val="0"/>
                      <w:marRight w:val="0"/>
                      <w:marTop w:val="0"/>
                      <w:marBottom w:val="0"/>
                      <w:divBdr>
                        <w:top w:val="none" w:sz="0" w:space="0" w:color="auto"/>
                        <w:left w:val="none" w:sz="0" w:space="0" w:color="auto"/>
                        <w:bottom w:val="none" w:sz="0" w:space="0" w:color="auto"/>
                        <w:right w:val="none" w:sz="0" w:space="0" w:color="auto"/>
                      </w:divBdr>
                    </w:div>
                  </w:divsChild>
                </w:div>
                <w:div w:id="2135714404">
                  <w:marLeft w:val="0"/>
                  <w:marRight w:val="0"/>
                  <w:marTop w:val="0"/>
                  <w:marBottom w:val="0"/>
                  <w:divBdr>
                    <w:top w:val="none" w:sz="0" w:space="0" w:color="auto"/>
                    <w:left w:val="none" w:sz="0" w:space="0" w:color="auto"/>
                    <w:bottom w:val="none" w:sz="0" w:space="0" w:color="auto"/>
                    <w:right w:val="none" w:sz="0" w:space="0" w:color="auto"/>
                  </w:divBdr>
                  <w:divsChild>
                    <w:div w:id="99772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739675">
      <w:bodyDiv w:val="1"/>
      <w:marLeft w:val="0"/>
      <w:marRight w:val="0"/>
      <w:marTop w:val="0"/>
      <w:marBottom w:val="0"/>
      <w:divBdr>
        <w:top w:val="none" w:sz="0" w:space="0" w:color="auto"/>
        <w:left w:val="none" w:sz="0" w:space="0" w:color="auto"/>
        <w:bottom w:val="none" w:sz="0" w:space="0" w:color="auto"/>
        <w:right w:val="none" w:sz="0" w:space="0" w:color="auto"/>
      </w:divBdr>
    </w:div>
    <w:div w:id="1417633632">
      <w:bodyDiv w:val="1"/>
      <w:marLeft w:val="0"/>
      <w:marRight w:val="0"/>
      <w:marTop w:val="0"/>
      <w:marBottom w:val="0"/>
      <w:divBdr>
        <w:top w:val="none" w:sz="0" w:space="0" w:color="auto"/>
        <w:left w:val="none" w:sz="0" w:space="0" w:color="auto"/>
        <w:bottom w:val="none" w:sz="0" w:space="0" w:color="auto"/>
        <w:right w:val="none" w:sz="0" w:space="0" w:color="auto"/>
      </w:divBdr>
    </w:div>
    <w:div w:id="1508595781">
      <w:bodyDiv w:val="1"/>
      <w:marLeft w:val="0"/>
      <w:marRight w:val="0"/>
      <w:marTop w:val="0"/>
      <w:marBottom w:val="0"/>
      <w:divBdr>
        <w:top w:val="none" w:sz="0" w:space="0" w:color="auto"/>
        <w:left w:val="none" w:sz="0" w:space="0" w:color="auto"/>
        <w:bottom w:val="none" w:sz="0" w:space="0" w:color="auto"/>
        <w:right w:val="none" w:sz="0" w:space="0" w:color="auto"/>
      </w:divBdr>
      <w:divsChild>
        <w:div w:id="15545876">
          <w:marLeft w:val="0"/>
          <w:marRight w:val="0"/>
          <w:marTop w:val="0"/>
          <w:marBottom w:val="0"/>
          <w:divBdr>
            <w:top w:val="none" w:sz="0" w:space="0" w:color="auto"/>
            <w:left w:val="none" w:sz="0" w:space="0" w:color="auto"/>
            <w:bottom w:val="none" w:sz="0" w:space="0" w:color="auto"/>
            <w:right w:val="none" w:sz="0" w:space="0" w:color="auto"/>
          </w:divBdr>
        </w:div>
        <w:div w:id="87049023">
          <w:marLeft w:val="0"/>
          <w:marRight w:val="0"/>
          <w:marTop w:val="0"/>
          <w:marBottom w:val="0"/>
          <w:divBdr>
            <w:top w:val="none" w:sz="0" w:space="0" w:color="auto"/>
            <w:left w:val="none" w:sz="0" w:space="0" w:color="auto"/>
            <w:bottom w:val="none" w:sz="0" w:space="0" w:color="auto"/>
            <w:right w:val="none" w:sz="0" w:space="0" w:color="auto"/>
          </w:divBdr>
        </w:div>
        <w:div w:id="920026643">
          <w:marLeft w:val="0"/>
          <w:marRight w:val="0"/>
          <w:marTop w:val="0"/>
          <w:marBottom w:val="0"/>
          <w:divBdr>
            <w:top w:val="none" w:sz="0" w:space="0" w:color="auto"/>
            <w:left w:val="none" w:sz="0" w:space="0" w:color="auto"/>
            <w:bottom w:val="none" w:sz="0" w:space="0" w:color="auto"/>
            <w:right w:val="none" w:sz="0" w:space="0" w:color="auto"/>
          </w:divBdr>
        </w:div>
        <w:div w:id="1215312111">
          <w:marLeft w:val="0"/>
          <w:marRight w:val="0"/>
          <w:marTop w:val="0"/>
          <w:marBottom w:val="0"/>
          <w:divBdr>
            <w:top w:val="none" w:sz="0" w:space="0" w:color="auto"/>
            <w:left w:val="none" w:sz="0" w:space="0" w:color="auto"/>
            <w:bottom w:val="none" w:sz="0" w:space="0" w:color="auto"/>
            <w:right w:val="none" w:sz="0" w:space="0" w:color="auto"/>
          </w:divBdr>
        </w:div>
        <w:div w:id="1675255267">
          <w:marLeft w:val="0"/>
          <w:marRight w:val="0"/>
          <w:marTop w:val="0"/>
          <w:marBottom w:val="0"/>
          <w:divBdr>
            <w:top w:val="none" w:sz="0" w:space="0" w:color="auto"/>
            <w:left w:val="none" w:sz="0" w:space="0" w:color="auto"/>
            <w:bottom w:val="none" w:sz="0" w:space="0" w:color="auto"/>
            <w:right w:val="none" w:sz="0" w:space="0" w:color="auto"/>
          </w:divBdr>
        </w:div>
      </w:divsChild>
    </w:div>
    <w:div w:id="1590889362">
      <w:bodyDiv w:val="1"/>
      <w:marLeft w:val="0"/>
      <w:marRight w:val="0"/>
      <w:marTop w:val="0"/>
      <w:marBottom w:val="0"/>
      <w:divBdr>
        <w:top w:val="none" w:sz="0" w:space="0" w:color="auto"/>
        <w:left w:val="none" w:sz="0" w:space="0" w:color="auto"/>
        <w:bottom w:val="none" w:sz="0" w:space="0" w:color="auto"/>
        <w:right w:val="none" w:sz="0" w:space="0" w:color="auto"/>
      </w:divBdr>
    </w:div>
    <w:div w:id="1718041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gulations.gov/document?D=EPA-HQ-OPP-2010-0230-0004"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pa.gov/pesticide-science-and-assessing-pesticide-risks/guidance-reporting-environmental-fate-and-transpor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nass.usda.gov/Research_and_Science/Cropland/SARS1a.php" TargetMode="External"/><Relationship Id="rId2" Type="http://schemas.openxmlformats.org/officeDocument/2006/relationships/hyperlink" Target="https://www.regulations.gov/docket?D=EPA-HQ-OPP-2010-0230" TargetMode="External"/><Relationship Id="rId1" Type="http://schemas.openxmlformats.org/officeDocument/2006/relationships/hyperlink" Target="https://www.epa.gov/endangered-species/revised-method-national-level-listed-species-biological-evaluations-conventional" TargetMode="External"/><Relationship Id="rId6" Type="http://schemas.openxmlformats.org/officeDocument/2006/relationships/hyperlink" Target="https://www.epa.gov/pesticide-science-and-assessing-pesticide-risks/models-pesticide-risk-assessment%23aquatic" TargetMode="External"/><Relationship Id="rId5" Type="http://schemas.openxmlformats.org/officeDocument/2006/relationships/hyperlink" Target="https://www.epa.gov/endangered-species/models-and-tools-endangered-species-pesticide-assessments" TargetMode="External"/><Relationship Id="rId4" Type="http://schemas.openxmlformats.org/officeDocument/2006/relationships/hyperlink" Target="https://coast.noaa.gov/digitalcoast/data/ccapregion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2018-03-23T13:17:52+00:00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Echeverria, Marietta</DisplayName>
        <AccountId>250</AccountId>
        <AccountType/>
      </UserInfo>
      <UserInfo>
        <DisplayName>Donovan, Elizabeth</DisplayName>
        <AccountId>580</AccountId>
        <AccountType/>
      </UserInfo>
      <UserInfo>
        <DisplayName>Anderson, Brian</DisplayName>
        <AccountId>650</AccountId>
        <AccountType/>
      </UserInfo>
      <UserInfo>
        <DisplayName>Holmes, Jean</DisplayName>
        <AccountId>651</AccountId>
        <AccountType/>
      </UserInfo>
      <UserInfo>
        <DisplayName>Peck, Charles</DisplayName>
        <AccountId>814</AccountId>
        <AccountType/>
      </UserInfo>
      <UserInfo>
        <DisplayName>Garber, Kristina</DisplayName>
        <AccountId>815</AccountId>
        <AccountType/>
      </UserInfo>
      <UserInfo>
        <DisplayName>Connolly, Jennifer</DisplayName>
        <AccountId>816</AccountId>
        <AccountType/>
      </UserInfo>
      <UserInfo>
        <DisplayName>Rossmeisl, Colleen</DisplayName>
        <AccountId>825</AccountId>
        <AccountType/>
      </UserInfo>
      <UserInfo>
        <DisplayName>Blankinship, Amy</DisplayName>
        <AccountId>1004</AccountId>
        <AccountType/>
      </UserInfo>
      <UserInfo>
        <DisplayName>Knorr, Michele</DisplayName>
        <AccountId>1139</AccountId>
        <AccountType/>
      </UserInfo>
      <UserInfo>
        <DisplayName>Wendel, Christina</DisplayName>
        <AccountId>4298</AccountId>
        <AccountType/>
      </UserInfo>
      <UserInfo>
        <DisplayName>Harwood, Douglas (Ethan)</DisplayName>
        <AccountId>6097</AccountId>
        <AccountType/>
      </UserInfo>
      <UserInfo>
        <DisplayName>Fowler, Jerrett</DisplayName>
        <AccountId>6397</AccountId>
        <AccountType/>
      </UserInfo>
      <UserInfo>
        <DisplayName>Johnson, Tamara</DisplayName>
        <AccountId>8027</AccountId>
        <AccountType/>
      </UserInfo>
    </SharedWithUsers>
  </documentManagement>
</p:properti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30A402-A7A6-4E14-8981-C4D61865F8DB}">
  <ds:schemaRefs>
    <ds:schemaRef ds:uri="http://purl.org/dc/dcmitype/"/>
    <ds:schemaRef ds:uri="http://schemas.microsoft.com/sharepoint.v3"/>
    <ds:schemaRef ds:uri="http://purl.org/dc/elements/1.1/"/>
    <ds:schemaRef ds:uri="http://schemas.microsoft.com/sharepoint/v3"/>
    <ds:schemaRef ds:uri="http://www.w3.org/XML/1998/namespace"/>
    <ds:schemaRef ds:uri="4ffa91fb-a0ff-4ac5-b2db-65c790d184a4"/>
    <ds:schemaRef ds:uri="http://schemas.microsoft.com/office/infopath/2007/PartnerControls"/>
    <ds:schemaRef ds:uri="http://schemas.openxmlformats.org/package/2006/metadata/core-properties"/>
    <ds:schemaRef ds:uri="http://schemas.microsoft.com/office/2006/documentManagement/types"/>
    <ds:schemaRef ds:uri="1b69afd8-9bdb-481b-b26a-06cbd17fa30c"/>
    <ds:schemaRef ds:uri="http://schemas.microsoft.com/office/2006/metadata/properties"/>
    <ds:schemaRef ds:uri="a5d1ca4e-0a3f-4119-b619-e20b93ebd1aa"/>
    <ds:schemaRef ds:uri="http://schemas.microsoft.com/sharepoint/v3/fields"/>
    <ds:schemaRef ds:uri="http://purl.org/dc/terms/"/>
  </ds:schemaRefs>
</ds:datastoreItem>
</file>

<file path=customXml/itemProps2.xml><?xml version="1.0" encoding="utf-8"?>
<ds:datastoreItem xmlns:ds="http://schemas.openxmlformats.org/officeDocument/2006/customXml" ds:itemID="{5248A94F-1509-494B-87AE-B4815A129966}">
  <ds:schemaRefs>
    <ds:schemaRef ds:uri="Microsoft.SharePoint.Taxonomy.ContentTypeSync"/>
  </ds:schemaRefs>
</ds:datastoreItem>
</file>

<file path=customXml/itemProps3.xml><?xml version="1.0" encoding="utf-8"?>
<ds:datastoreItem xmlns:ds="http://schemas.openxmlformats.org/officeDocument/2006/customXml" ds:itemID="{4C914E8D-E755-4B18-AE60-6406819FD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0B4B92-2B09-43EA-91E9-8131A7F83442}">
  <ds:schemaRefs>
    <ds:schemaRef ds:uri="http://schemas.openxmlformats.org/officeDocument/2006/bibliography"/>
  </ds:schemaRefs>
</ds:datastoreItem>
</file>

<file path=customXml/itemProps5.xml><?xml version="1.0" encoding="utf-8"?>
<ds:datastoreItem xmlns:ds="http://schemas.openxmlformats.org/officeDocument/2006/customXml" ds:itemID="{1B6294B6-E549-472B-8096-9A501468D1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4436</Words>
  <Characters>25287</Characters>
  <Application>Microsoft Office Word</Application>
  <DocSecurity>12</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29664</CharactersWithSpaces>
  <SharedDoc>false</SharedDoc>
  <HLinks>
    <vt:vector size="114" baseType="variant">
      <vt:variant>
        <vt:i4>589913</vt:i4>
      </vt:variant>
      <vt:variant>
        <vt:i4>75</vt:i4>
      </vt:variant>
      <vt:variant>
        <vt:i4>0</vt:i4>
      </vt:variant>
      <vt:variant>
        <vt:i4>5</vt:i4>
      </vt:variant>
      <vt:variant>
        <vt:lpwstr>https://www.regulations.gov/document?D=EPA-HQ-OPP-2010-0230-0004</vt:lpwstr>
      </vt:variant>
      <vt:variant>
        <vt:lpwstr/>
      </vt:variant>
      <vt:variant>
        <vt:i4>2228335</vt:i4>
      </vt:variant>
      <vt:variant>
        <vt:i4>72</vt:i4>
      </vt:variant>
      <vt:variant>
        <vt:i4>0</vt:i4>
      </vt:variant>
      <vt:variant>
        <vt:i4>5</vt:i4>
      </vt:variant>
      <vt:variant>
        <vt:lpwstr>https://www.epa.gov/pesticide-science-and-assessing-pesticide-risks/guidance-reporting-environmental-fate-and-transport</vt:lpwstr>
      </vt:variant>
      <vt:variant>
        <vt:lpwstr/>
      </vt:variant>
      <vt:variant>
        <vt:i4>6815858</vt:i4>
      </vt:variant>
      <vt:variant>
        <vt:i4>66</vt:i4>
      </vt:variant>
      <vt:variant>
        <vt:i4>0</vt:i4>
      </vt:variant>
      <vt:variant>
        <vt:i4>5</vt:i4>
      </vt:variant>
      <vt:variant>
        <vt:lpwstr>http://epa.gov/pesticides/fifra6a2/</vt:lpwstr>
      </vt:variant>
      <vt:variant>
        <vt:lpwstr/>
      </vt:variant>
      <vt:variant>
        <vt:i4>1572915</vt:i4>
      </vt:variant>
      <vt:variant>
        <vt:i4>56</vt:i4>
      </vt:variant>
      <vt:variant>
        <vt:i4>0</vt:i4>
      </vt:variant>
      <vt:variant>
        <vt:i4>5</vt:i4>
      </vt:variant>
      <vt:variant>
        <vt:lpwstr/>
      </vt:variant>
      <vt:variant>
        <vt:lpwstr>_Toc66888756</vt:lpwstr>
      </vt:variant>
      <vt:variant>
        <vt:i4>1769523</vt:i4>
      </vt:variant>
      <vt:variant>
        <vt:i4>50</vt:i4>
      </vt:variant>
      <vt:variant>
        <vt:i4>0</vt:i4>
      </vt:variant>
      <vt:variant>
        <vt:i4>5</vt:i4>
      </vt:variant>
      <vt:variant>
        <vt:lpwstr/>
      </vt:variant>
      <vt:variant>
        <vt:lpwstr>_Toc66888755</vt:lpwstr>
      </vt:variant>
      <vt:variant>
        <vt:i4>1703987</vt:i4>
      </vt:variant>
      <vt:variant>
        <vt:i4>44</vt:i4>
      </vt:variant>
      <vt:variant>
        <vt:i4>0</vt:i4>
      </vt:variant>
      <vt:variant>
        <vt:i4>5</vt:i4>
      </vt:variant>
      <vt:variant>
        <vt:lpwstr/>
      </vt:variant>
      <vt:variant>
        <vt:lpwstr>_Toc66888754</vt:lpwstr>
      </vt:variant>
      <vt:variant>
        <vt:i4>1900595</vt:i4>
      </vt:variant>
      <vt:variant>
        <vt:i4>38</vt:i4>
      </vt:variant>
      <vt:variant>
        <vt:i4>0</vt:i4>
      </vt:variant>
      <vt:variant>
        <vt:i4>5</vt:i4>
      </vt:variant>
      <vt:variant>
        <vt:lpwstr/>
      </vt:variant>
      <vt:variant>
        <vt:lpwstr>_Toc66888753</vt:lpwstr>
      </vt:variant>
      <vt:variant>
        <vt:i4>1835059</vt:i4>
      </vt:variant>
      <vt:variant>
        <vt:i4>32</vt:i4>
      </vt:variant>
      <vt:variant>
        <vt:i4>0</vt:i4>
      </vt:variant>
      <vt:variant>
        <vt:i4>5</vt:i4>
      </vt:variant>
      <vt:variant>
        <vt:lpwstr/>
      </vt:variant>
      <vt:variant>
        <vt:lpwstr>_Toc66888752</vt:lpwstr>
      </vt:variant>
      <vt:variant>
        <vt:i4>2031667</vt:i4>
      </vt:variant>
      <vt:variant>
        <vt:i4>26</vt:i4>
      </vt:variant>
      <vt:variant>
        <vt:i4>0</vt:i4>
      </vt:variant>
      <vt:variant>
        <vt:i4>5</vt:i4>
      </vt:variant>
      <vt:variant>
        <vt:lpwstr/>
      </vt:variant>
      <vt:variant>
        <vt:lpwstr>_Toc66888751</vt:lpwstr>
      </vt:variant>
      <vt:variant>
        <vt:i4>1966131</vt:i4>
      </vt:variant>
      <vt:variant>
        <vt:i4>20</vt:i4>
      </vt:variant>
      <vt:variant>
        <vt:i4>0</vt:i4>
      </vt:variant>
      <vt:variant>
        <vt:i4>5</vt:i4>
      </vt:variant>
      <vt:variant>
        <vt:lpwstr/>
      </vt:variant>
      <vt:variant>
        <vt:lpwstr>_Toc66888750</vt:lpwstr>
      </vt:variant>
      <vt:variant>
        <vt:i4>1507378</vt:i4>
      </vt:variant>
      <vt:variant>
        <vt:i4>14</vt:i4>
      </vt:variant>
      <vt:variant>
        <vt:i4>0</vt:i4>
      </vt:variant>
      <vt:variant>
        <vt:i4>5</vt:i4>
      </vt:variant>
      <vt:variant>
        <vt:lpwstr/>
      </vt:variant>
      <vt:variant>
        <vt:lpwstr>_Toc66888749</vt:lpwstr>
      </vt:variant>
      <vt:variant>
        <vt:i4>1441842</vt:i4>
      </vt:variant>
      <vt:variant>
        <vt:i4>8</vt:i4>
      </vt:variant>
      <vt:variant>
        <vt:i4>0</vt:i4>
      </vt:variant>
      <vt:variant>
        <vt:i4>5</vt:i4>
      </vt:variant>
      <vt:variant>
        <vt:lpwstr/>
      </vt:variant>
      <vt:variant>
        <vt:lpwstr>_Toc66888748</vt:lpwstr>
      </vt:variant>
      <vt:variant>
        <vt:i4>1638450</vt:i4>
      </vt:variant>
      <vt:variant>
        <vt:i4>2</vt:i4>
      </vt:variant>
      <vt:variant>
        <vt:i4>0</vt:i4>
      </vt:variant>
      <vt:variant>
        <vt:i4>5</vt:i4>
      </vt:variant>
      <vt:variant>
        <vt:lpwstr/>
      </vt:variant>
      <vt:variant>
        <vt:lpwstr>_Toc66888747</vt:lpwstr>
      </vt:variant>
      <vt:variant>
        <vt:i4>2097184</vt:i4>
      </vt:variant>
      <vt:variant>
        <vt:i4>18</vt:i4>
      </vt:variant>
      <vt:variant>
        <vt:i4>0</vt:i4>
      </vt:variant>
      <vt:variant>
        <vt:i4>5</vt:i4>
      </vt:variant>
      <vt:variant>
        <vt:lpwstr>https://www.epa.gov/pesticide-science-and-assessing-pesticide-risks/models-pesticide-risk-assessment%23aquatic</vt:lpwstr>
      </vt:variant>
      <vt:variant>
        <vt:lpwstr/>
      </vt:variant>
      <vt:variant>
        <vt:i4>262156</vt:i4>
      </vt:variant>
      <vt:variant>
        <vt:i4>15</vt:i4>
      </vt:variant>
      <vt:variant>
        <vt:i4>0</vt:i4>
      </vt:variant>
      <vt:variant>
        <vt:i4>5</vt:i4>
      </vt:variant>
      <vt:variant>
        <vt:lpwstr>https://www.epa.gov/endangered-species/models-and-tools-endangered-species-pesticide-assessments</vt:lpwstr>
      </vt:variant>
      <vt:variant>
        <vt:lpwstr/>
      </vt:variant>
      <vt:variant>
        <vt:i4>3866727</vt:i4>
      </vt:variant>
      <vt:variant>
        <vt:i4>12</vt:i4>
      </vt:variant>
      <vt:variant>
        <vt:i4>0</vt:i4>
      </vt:variant>
      <vt:variant>
        <vt:i4>5</vt:i4>
      </vt:variant>
      <vt:variant>
        <vt:lpwstr>https://coast.noaa.gov/digitalcoast/data/ccapregional.html</vt:lpwstr>
      </vt:variant>
      <vt:variant>
        <vt:lpwstr/>
      </vt:variant>
      <vt:variant>
        <vt:i4>7929894</vt:i4>
      </vt:variant>
      <vt:variant>
        <vt:i4>9</vt:i4>
      </vt:variant>
      <vt:variant>
        <vt:i4>0</vt:i4>
      </vt:variant>
      <vt:variant>
        <vt:i4>5</vt:i4>
      </vt:variant>
      <vt:variant>
        <vt:lpwstr>https://www.nass.usda.gov/Research_and_Science/Cropland/SARS1a.php</vt:lpwstr>
      </vt:variant>
      <vt:variant>
        <vt:lpwstr/>
      </vt:variant>
      <vt:variant>
        <vt:i4>5963791</vt:i4>
      </vt:variant>
      <vt:variant>
        <vt:i4>3</vt:i4>
      </vt:variant>
      <vt:variant>
        <vt:i4>0</vt:i4>
      </vt:variant>
      <vt:variant>
        <vt:i4>5</vt:i4>
      </vt:variant>
      <vt:variant>
        <vt:lpwstr>https://www.regulations.gov/docket?D=EPA-HQ-OPP-2010-0230</vt:lpwstr>
      </vt:variant>
      <vt:variant>
        <vt:lpwstr/>
      </vt:variant>
      <vt:variant>
        <vt:i4>7995492</vt:i4>
      </vt:variant>
      <vt:variant>
        <vt:i4>0</vt:i4>
      </vt:variant>
      <vt:variant>
        <vt:i4>0</vt:i4>
      </vt:variant>
      <vt:variant>
        <vt:i4>5</vt:i4>
      </vt:variant>
      <vt:variant>
        <vt:lpwstr>https://www.epa.gov/endangered-species/revised-method-national-level-listed-species-biological-evaluations-conventional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Panger, Melissa</dc:creator>
  <cp:keywords/>
  <cp:lastModifiedBy>Katrina White</cp:lastModifiedBy>
  <cp:revision>10</cp:revision>
  <cp:lastPrinted>2015-10-17T03:59:00Z</cp:lastPrinted>
  <dcterms:created xsi:type="dcterms:W3CDTF">2021-03-16T21:38:00Z</dcterms:created>
  <dcterms:modified xsi:type="dcterms:W3CDTF">2021-03-17T22:52:00Z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xd_Signature">
    <vt:bool>false</vt:bool>
  </property>
</Properties>
</file>