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7121" w14:textId="233AA8E9" w:rsidR="00CD7E54" w:rsidRPr="00EB6683" w:rsidRDefault="00CD7E54" w:rsidP="00CD7E54">
      <w:pPr>
        <w:rPr>
          <w:b/>
          <w:color w:val="4472C4" w:themeColor="accent5"/>
          <w:sz w:val="32"/>
          <w:szCs w:val="32"/>
        </w:rPr>
      </w:pPr>
      <w:r w:rsidRPr="00EB6683">
        <w:rPr>
          <w:b/>
          <w:color w:val="4472C4" w:themeColor="accent5"/>
          <w:sz w:val="32"/>
          <w:szCs w:val="32"/>
        </w:rPr>
        <w:t>APPENDIX 2-</w:t>
      </w:r>
      <w:r w:rsidR="00EB6683">
        <w:rPr>
          <w:b/>
          <w:color w:val="4472C4" w:themeColor="accent5"/>
          <w:sz w:val="32"/>
          <w:szCs w:val="32"/>
        </w:rPr>
        <w:t>6</w:t>
      </w:r>
      <w:r w:rsidR="00204451">
        <w:rPr>
          <w:b/>
          <w:color w:val="4472C4" w:themeColor="accent5"/>
          <w:sz w:val="32"/>
          <w:szCs w:val="32"/>
        </w:rPr>
        <w:t>.</w:t>
      </w:r>
      <w:r w:rsidRPr="00EB6683">
        <w:rPr>
          <w:b/>
          <w:color w:val="4472C4" w:themeColor="accent5"/>
          <w:sz w:val="32"/>
          <w:szCs w:val="32"/>
        </w:rPr>
        <w:t xml:space="preserve"> </w:t>
      </w:r>
      <w:r w:rsidR="008C70E6" w:rsidRPr="00EB6683">
        <w:rPr>
          <w:b/>
          <w:color w:val="4472C4" w:themeColor="accent5"/>
          <w:sz w:val="32"/>
          <w:szCs w:val="32"/>
        </w:rPr>
        <w:t>Carbaryl</w:t>
      </w:r>
      <w:r w:rsidRPr="00EB6683">
        <w:rPr>
          <w:b/>
          <w:color w:val="4472C4" w:themeColor="accent5"/>
          <w:sz w:val="32"/>
          <w:szCs w:val="32"/>
        </w:rPr>
        <w:t xml:space="preserve"> Species Sensitivity Distribution Analysis for Aquatic Invertebrates</w:t>
      </w:r>
    </w:p>
    <w:p w14:paraId="1DFF4AAC" w14:textId="77777777" w:rsidR="008C70E6" w:rsidRDefault="00CD7E54" w:rsidP="00D45120">
      <w:pPr>
        <w:spacing w:after="0" w:line="240" w:lineRule="auto"/>
      </w:pPr>
      <w:r w:rsidRPr="0008448B">
        <w:t xml:space="preserve">SSDs were fit to test results for aquatic invertebrates exposed to </w:t>
      </w:r>
      <w:r w:rsidR="008C70E6">
        <w:t>carbaryl</w:t>
      </w:r>
      <w:r w:rsidRPr="0008448B">
        <w:t xml:space="preserve">.  </w:t>
      </w:r>
      <w:r w:rsidR="008C70E6">
        <w:t xml:space="preserve">The aquatic invertebrate dataset was separated into two groups (non-mollusk and mollusk; freshwater and saltwater species data were pooled together for the two different groups). </w:t>
      </w:r>
      <w:r>
        <w:t>Four</w:t>
      </w:r>
      <w:r w:rsidRPr="0008448B">
        <w:t xml:space="preserve"> distributions were used </w:t>
      </w:r>
      <w:r>
        <w:t>to fit the</w:t>
      </w:r>
      <w:r w:rsidRPr="0008448B">
        <w:t xml:space="preserve"> pooled results.  </w:t>
      </w:r>
      <w:r>
        <w:t xml:space="preserve"> </w:t>
      </w:r>
    </w:p>
    <w:p w14:paraId="77BC431C" w14:textId="77777777" w:rsidR="00D45120" w:rsidRDefault="00D45120" w:rsidP="00D45120">
      <w:pPr>
        <w:spacing w:after="0" w:line="240" w:lineRule="auto"/>
      </w:pPr>
    </w:p>
    <w:p w14:paraId="65E0797B" w14:textId="583D4145" w:rsidR="00CD7E54" w:rsidRPr="0008448B" w:rsidRDefault="00C778A3" w:rsidP="00D45120">
      <w:pPr>
        <w:spacing w:after="0" w:line="240" w:lineRule="auto"/>
      </w:pPr>
      <w:r>
        <w:t>For non-mollusks and mollusks, t</w:t>
      </w:r>
      <w:r w:rsidR="00CD7E54" w:rsidRPr="0008448B">
        <w:t xml:space="preserve">he </w:t>
      </w:r>
      <w:r>
        <w:t xml:space="preserve">logistic and triangular </w:t>
      </w:r>
      <w:r w:rsidR="00CD7E54" w:rsidRPr="0008448B">
        <w:t xml:space="preserve">distribution provided the best fit for the </w:t>
      </w:r>
      <w:r w:rsidR="00CD7E54">
        <w:t>dataset</w:t>
      </w:r>
      <w:r>
        <w:t xml:space="preserve">s, </w:t>
      </w:r>
      <w:r w:rsidR="00A141C5">
        <w:t>respectively</w:t>
      </w:r>
      <w:r w:rsidR="00CD7E54" w:rsidRPr="0008448B">
        <w:t xml:space="preserve">. </w:t>
      </w:r>
      <w:r w:rsidR="00CD7E54" w:rsidRPr="009F5C46">
        <w:t>Th</w:t>
      </w:r>
      <w:r w:rsidR="00CD7E54">
        <w:t xml:space="preserve">is </w:t>
      </w:r>
      <w:r w:rsidR="00CD7E54" w:rsidRPr="009F5C46">
        <w:t>decision w</w:t>
      </w:r>
      <w:r w:rsidR="00CD7E54">
        <w:t>as</w:t>
      </w:r>
      <w:r w:rsidR="00CD7E54" w:rsidRPr="009F5C46">
        <w:t xml:space="preserve"> based on the AIC</w:t>
      </w:r>
      <w:r w:rsidR="00CD7E54" w:rsidRPr="002D5A60">
        <w:rPr>
          <w:vertAlign w:val="subscript"/>
        </w:rPr>
        <w:t>c</w:t>
      </w:r>
      <w:r w:rsidR="00CD7E54" w:rsidRPr="009F5C46">
        <w:t xml:space="preserve"> weight, CVs and confidence limits for the different distributions. </w:t>
      </w:r>
      <w:r w:rsidR="00CD7E54" w:rsidRPr="0008448B">
        <w:t xml:space="preserve">Summary statistics from the fitted SSDs are provided below in </w:t>
      </w:r>
      <w:r w:rsidR="00250178" w:rsidRPr="00250178">
        <w:rPr>
          <w:b/>
        </w:rPr>
        <w:t>Table</w:t>
      </w:r>
      <w:r w:rsidR="00250178">
        <w:t xml:space="preserve"> </w:t>
      </w:r>
      <w:r w:rsidR="00CD7E54" w:rsidRPr="0008448B">
        <w:rPr>
          <w:b/>
        </w:rPr>
        <w:t>1</w:t>
      </w:r>
      <w:r w:rsidR="00CD7E54" w:rsidRPr="0008448B">
        <w:t>.  Detailed results follow.</w:t>
      </w:r>
    </w:p>
    <w:p w14:paraId="6FA14B15" w14:textId="77777777" w:rsidR="00C778A3" w:rsidRPr="00C778A3" w:rsidRDefault="00C778A3" w:rsidP="00D45120">
      <w:pPr>
        <w:spacing w:after="0" w:line="240" w:lineRule="auto"/>
        <w:rPr>
          <w:rFonts w:ascii="Calibri" w:eastAsia="Calibri" w:hAnsi="Calibri" w:cs="Times New Roman"/>
        </w:rPr>
      </w:pPr>
    </w:p>
    <w:p w14:paraId="19CA57F2" w14:textId="68BF8FC9" w:rsidR="00C778A3" w:rsidRDefault="00C778A3" w:rsidP="00D45120">
      <w:pPr>
        <w:spacing w:after="0" w:line="240" w:lineRule="auto"/>
        <w:rPr>
          <w:rFonts w:ascii="Calibri" w:eastAsia="Calibri" w:hAnsi="Calibri" w:cs="Times New Roman"/>
          <w:b/>
        </w:rPr>
      </w:pPr>
      <w:r w:rsidRPr="00C778A3">
        <w:rPr>
          <w:rFonts w:ascii="Calibri" w:eastAsia="Calibri" w:hAnsi="Calibri" w:cs="Times New Roman"/>
          <w:b/>
        </w:rPr>
        <w:t xml:space="preserve">Table 1. Summary statistics for SSDs fit to </w:t>
      </w:r>
      <w:r w:rsidR="003D5E46">
        <w:rPr>
          <w:rFonts w:ascii="Calibri" w:eastAsia="Calibri" w:hAnsi="Calibri" w:cs="Times New Roman"/>
          <w:b/>
        </w:rPr>
        <w:t>c</w:t>
      </w:r>
      <w:r>
        <w:rPr>
          <w:rFonts w:ascii="Calibri" w:eastAsia="Calibri" w:hAnsi="Calibri" w:cs="Times New Roman"/>
          <w:b/>
        </w:rPr>
        <w:t>arbaryl</w:t>
      </w:r>
      <w:r w:rsidRPr="00C778A3">
        <w:rPr>
          <w:rFonts w:ascii="Calibri" w:eastAsia="Calibri" w:hAnsi="Calibri" w:cs="Times New Roman"/>
          <w:b/>
        </w:rPr>
        <w:t xml:space="preserve"> test results</w:t>
      </w:r>
      <w:r w:rsidR="003D5E46">
        <w:rPr>
          <w:rFonts w:ascii="Calibri" w:eastAsia="Calibri" w:hAnsi="Calibri" w:cs="Times New Roman"/>
          <w:b/>
        </w:rPr>
        <w:t>.</w:t>
      </w:r>
    </w:p>
    <w:tbl>
      <w:tblPr>
        <w:tblStyle w:val="TableGrid"/>
        <w:tblW w:w="8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52"/>
        <w:gridCol w:w="2952"/>
      </w:tblGrid>
      <w:tr w:rsidR="00C778A3" w:rsidRPr="00C778A3" w14:paraId="62EC15F4" w14:textId="77777777" w:rsidTr="00C778A3"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14:paraId="029CA760" w14:textId="77777777" w:rsidR="00C778A3" w:rsidRPr="00C778A3" w:rsidRDefault="00C778A3" w:rsidP="00C778A3">
            <w:pPr>
              <w:rPr>
                <w:rFonts w:eastAsia="Times New Roman" w:cs="Times New Roman"/>
                <w:u w:val="single"/>
              </w:rPr>
            </w:pPr>
            <w:r w:rsidRPr="00C778A3">
              <w:rPr>
                <w:rFonts w:eastAsia="Times New Roman" w:cs="Times New Roman"/>
                <w:u w:val="single"/>
              </w:rPr>
              <w:t>Statistic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CDB3CA" w14:textId="77777777" w:rsidR="00C778A3" w:rsidRPr="00C778A3" w:rsidRDefault="00C778A3" w:rsidP="00C778A3">
            <w:pPr>
              <w:rPr>
                <w:rFonts w:eastAsia="Times New Roman" w:cs="Times New Roman"/>
                <w:u w:val="single"/>
              </w:rPr>
            </w:pPr>
            <w:r w:rsidRPr="00C778A3">
              <w:rPr>
                <w:rFonts w:eastAsia="Times New Roman" w:cs="Times New Roman"/>
                <w:u w:val="single"/>
              </w:rPr>
              <w:t>All non-mollusk</w:t>
            </w:r>
          </w:p>
          <w:p w14:paraId="447722C7" w14:textId="77777777" w:rsidR="00C778A3" w:rsidRPr="00C778A3" w:rsidRDefault="00C778A3" w:rsidP="00C778A3">
            <w:pPr>
              <w:rPr>
                <w:rFonts w:eastAsia="Times New Roman" w:cs="Times New Roman"/>
                <w:u w:val="single"/>
              </w:rPr>
            </w:pPr>
            <w:r w:rsidRPr="00C778A3">
              <w:rPr>
                <w:rFonts w:eastAsia="Times New Roman" w:cs="Times New Roman"/>
                <w:u w:val="single"/>
              </w:rPr>
              <w:t>Invertebrates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</w:tcPr>
          <w:p w14:paraId="297E0755" w14:textId="77777777" w:rsidR="00C778A3" w:rsidRPr="00C778A3" w:rsidRDefault="00C778A3" w:rsidP="00C778A3">
            <w:pPr>
              <w:rPr>
                <w:rFonts w:eastAsia="Times New Roman" w:cs="Times New Roman"/>
                <w:u w:val="single"/>
              </w:rPr>
            </w:pPr>
            <w:r w:rsidRPr="00C778A3">
              <w:rPr>
                <w:rFonts w:eastAsia="Times New Roman" w:cs="Times New Roman"/>
                <w:u w:val="single"/>
              </w:rPr>
              <w:t>Mollusks</w:t>
            </w:r>
          </w:p>
        </w:tc>
      </w:tr>
      <w:tr w:rsidR="00C778A3" w:rsidRPr="00C778A3" w14:paraId="2708C910" w14:textId="77777777" w:rsidTr="00C778A3">
        <w:tc>
          <w:tcPr>
            <w:tcW w:w="2178" w:type="dxa"/>
            <w:shd w:val="clear" w:color="auto" w:fill="auto"/>
          </w:tcPr>
          <w:p w14:paraId="161315D3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CV of the HC</w:t>
            </w:r>
            <w:r w:rsidRPr="00C778A3">
              <w:rPr>
                <w:rFonts w:eastAsia="Times New Roman" w:cs="Times New Roman"/>
                <w:vertAlign w:val="subscript"/>
              </w:rPr>
              <w:t>05</w:t>
            </w:r>
          </w:p>
        </w:tc>
        <w:tc>
          <w:tcPr>
            <w:tcW w:w="2952" w:type="dxa"/>
          </w:tcPr>
          <w:p w14:paraId="7538ED81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0.51</w:t>
            </w:r>
          </w:p>
        </w:tc>
        <w:tc>
          <w:tcPr>
            <w:tcW w:w="2952" w:type="dxa"/>
          </w:tcPr>
          <w:p w14:paraId="23FC745D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0.24</w:t>
            </w:r>
          </w:p>
        </w:tc>
      </w:tr>
      <w:tr w:rsidR="00C778A3" w:rsidRPr="00C778A3" w14:paraId="779F2240" w14:textId="77777777" w:rsidTr="00C778A3">
        <w:tc>
          <w:tcPr>
            <w:tcW w:w="2178" w:type="dxa"/>
            <w:shd w:val="clear" w:color="auto" w:fill="auto"/>
          </w:tcPr>
          <w:p w14:paraId="171623E9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HC</w:t>
            </w:r>
            <w:r w:rsidRPr="00C778A3">
              <w:rPr>
                <w:rFonts w:eastAsia="Times New Roman" w:cs="Times New Roman"/>
                <w:vertAlign w:val="subscript"/>
              </w:rPr>
              <w:t>05</w:t>
            </w:r>
          </w:p>
        </w:tc>
        <w:tc>
          <w:tcPr>
            <w:tcW w:w="2952" w:type="dxa"/>
          </w:tcPr>
          <w:p w14:paraId="476C64DB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1.6</w:t>
            </w:r>
          </w:p>
        </w:tc>
        <w:tc>
          <w:tcPr>
            <w:tcW w:w="2952" w:type="dxa"/>
          </w:tcPr>
          <w:p w14:paraId="2465FCC7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6600</w:t>
            </w:r>
          </w:p>
        </w:tc>
      </w:tr>
      <w:tr w:rsidR="00C778A3" w:rsidRPr="00C778A3" w14:paraId="6B3DFC7D" w14:textId="77777777" w:rsidTr="00C778A3">
        <w:tc>
          <w:tcPr>
            <w:tcW w:w="2178" w:type="dxa"/>
            <w:shd w:val="clear" w:color="auto" w:fill="auto"/>
          </w:tcPr>
          <w:p w14:paraId="2EF1E7CA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HC</w:t>
            </w:r>
            <w:r w:rsidRPr="00C778A3">
              <w:rPr>
                <w:rFonts w:eastAsia="Times New Roman" w:cs="Times New Roman"/>
                <w:vertAlign w:val="subscript"/>
              </w:rPr>
              <w:t>50</w:t>
            </w:r>
          </w:p>
        </w:tc>
        <w:tc>
          <w:tcPr>
            <w:tcW w:w="2952" w:type="dxa"/>
          </w:tcPr>
          <w:p w14:paraId="1155F1A6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140</w:t>
            </w:r>
          </w:p>
        </w:tc>
        <w:tc>
          <w:tcPr>
            <w:tcW w:w="2952" w:type="dxa"/>
          </w:tcPr>
          <w:p w14:paraId="292428CD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19000</w:t>
            </w:r>
          </w:p>
        </w:tc>
      </w:tr>
      <w:tr w:rsidR="00C778A3" w:rsidRPr="00C778A3" w14:paraId="4E8F2526" w14:textId="77777777" w:rsidTr="00C778A3">
        <w:tc>
          <w:tcPr>
            <w:tcW w:w="2178" w:type="dxa"/>
            <w:shd w:val="clear" w:color="auto" w:fill="auto"/>
          </w:tcPr>
          <w:p w14:paraId="440C3435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HC</w:t>
            </w:r>
            <w:r w:rsidRPr="00C778A3">
              <w:rPr>
                <w:rFonts w:eastAsia="Times New Roman" w:cs="Times New Roman"/>
                <w:vertAlign w:val="subscript"/>
              </w:rPr>
              <w:t>95</w:t>
            </w:r>
          </w:p>
        </w:tc>
        <w:tc>
          <w:tcPr>
            <w:tcW w:w="2952" w:type="dxa"/>
          </w:tcPr>
          <w:p w14:paraId="233BA534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12000</w:t>
            </w:r>
          </w:p>
        </w:tc>
        <w:tc>
          <w:tcPr>
            <w:tcW w:w="2952" w:type="dxa"/>
          </w:tcPr>
          <w:p w14:paraId="423D8E76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54000</w:t>
            </w:r>
          </w:p>
        </w:tc>
      </w:tr>
      <w:tr w:rsidR="00C778A3" w:rsidRPr="00C778A3" w14:paraId="58C8C886" w14:textId="77777777" w:rsidTr="00C778A3">
        <w:tc>
          <w:tcPr>
            <w:tcW w:w="2178" w:type="dxa"/>
          </w:tcPr>
          <w:p w14:paraId="64910C4D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Mortality Thresh.</w:t>
            </w:r>
            <w:r w:rsidRPr="00C778A3">
              <w:rPr>
                <w:rFonts w:eastAsia="Times New Roman" w:cs="Times New Roman"/>
                <w:vertAlign w:val="superscript"/>
              </w:rPr>
              <w:t>1</w:t>
            </w:r>
          </w:p>
          <w:p w14:paraId="2B91DC96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 xml:space="preserve"> (slope = 4.5)</w:t>
            </w:r>
          </w:p>
        </w:tc>
        <w:tc>
          <w:tcPr>
            <w:tcW w:w="2952" w:type="dxa"/>
          </w:tcPr>
          <w:p w14:paraId="15C82E93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0.14</w:t>
            </w:r>
          </w:p>
        </w:tc>
        <w:tc>
          <w:tcPr>
            <w:tcW w:w="2952" w:type="dxa"/>
          </w:tcPr>
          <w:p w14:paraId="3BAF8D34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580</w:t>
            </w:r>
          </w:p>
        </w:tc>
      </w:tr>
      <w:tr w:rsidR="00C778A3" w:rsidRPr="00C778A3" w14:paraId="3934989B" w14:textId="77777777" w:rsidTr="00C778A3">
        <w:tc>
          <w:tcPr>
            <w:tcW w:w="2178" w:type="dxa"/>
            <w:tcBorders>
              <w:bottom w:val="single" w:sz="12" w:space="0" w:color="auto"/>
            </w:tcBorders>
          </w:tcPr>
          <w:p w14:paraId="29C1A535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Indirect Effects Threshold</w:t>
            </w:r>
            <w:r w:rsidRPr="00C778A3">
              <w:rPr>
                <w:rFonts w:eastAsia="Times New Roman" w:cs="Times New Roman"/>
                <w:vertAlign w:val="superscript"/>
              </w:rPr>
              <w:t>1</w:t>
            </w:r>
          </w:p>
          <w:p w14:paraId="04EBA4A5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 xml:space="preserve"> (slope = 4.5)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5F17FEDE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0.81</w:t>
            </w:r>
          </w:p>
        </w:tc>
        <w:tc>
          <w:tcPr>
            <w:tcW w:w="2952" w:type="dxa"/>
            <w:tcBorders>
              <w:bottom w:val="single" w:sz="12" w:space="0" w:color="auto"/>
            </w:tcBorders>
          </w:tcPr>
          <w:p w14:paraId="36997BF1" w14:textId="77777777" w:rsidR="00C778A3" w:rsidRPr="00C778A3" w:rsidRDefault="00C778A3" w:rsidP="00C778A3">
            <w:pPr>
              <w:rPr>
                <w:rFonts w:eastAsia="Times New Roman" w:cs="Times New Roman"/>
              </w:rPr>
            </w:pPr>
            <w:r w:rsidRPr="00C778A3">
              <w:rPr>
                <w:rFonts w:eastAsia="Times New Roman" w:cs="Times New Roman"/>
              </w:rPr>
              <w:t>3400</w:t>
            </w:r>
          </w:p>
        </w:tc>
      </w:tr>
    </w:tbl>
    <w:p w14:paraId="31CF33CC" w14:textId="77777777" w:rsidR="00C778A3" w:rsidRPr="00C778A3" w:rsidRDefault="00C778A3" w:rsidP="00204451">
      <w:pPr>
        <w:spacing w:after="0" w:line="240" w:lineRule="auto"/>
        <w:rPr>
          <w:rFonts w:ascii="Calibri" w:eastAsia="Calibri" w:hAnsi="Calibri" w:cs="Times New Roman"/>
        </w:rPr>
      </w:pPr>
      <w:r w:rsidRPr="00C778A3">
        <w:rPr>
          <w:rFonts w:ascii="Calibri" w:eastAsia="Calibri" w:hAnsi="Calibri" w:cs="Times New Roman"/>
          <w:color w:val="000000"/>
          <w:vertAlign w:val="superscript"/>
        </w:rPr>
        <w:t xml:space="preserve">1 </w:t>
      </w:r>
      <w:r w:rsidRPr="00C778A3">
        <w:rPr>
          <w:rFonts w:ascii="Calibri" w:eastAsia="Calibri" w:hAnsi="Calibri" w:cs="Times New Roman"/>
          <w:color w:val="000000"/>
        </w:rPr>
        <w:t xml:space="preserve"> Slope = default slope of 4.5 used as no slope was available for species near the HC</w:t>
      </w:r>
      <w:r w:rsidRPr="007C01EC">
        <w:rPr>
          <w:rFonts w:ascii="Calibri" w:eastAsia="Calibri" w:hAnsi="Calibri" w:cs="Times New Roman"/>
          <w:color w:val="000000"/>
          <w:vertAlign w:val="subscript"/>
        </w:rPr>
        <w:t>05</w:t>
      </w:r>
      <w:r w:rsidRPr="00C778A3">
        <w:rPr>
          <w:rFonts w:ascii="Calibri" w:eastAsia="Calibri" w:hAnsi="Calibri" w:cs="Times New Roman"/>
          <w:color w:val="000000"/>
        </w:rPr>
        <w:t>.</w:t>
      </w:r>
    </w:p>
    <w:p w14:paraId="7502E981" w14:textId="77777777" w:rsidR="0019319E" w:rsidRDefault="0019319E" w:rsidP="00204451">
      <w:pPr>
        <w:spacing w:after="0" w:line="240" w:lineRule="auto"/>
      </w:pPr>
    </w:p>
    <w:p w14:paraId="0BC4F63F" w14:textId="457B14A6" w:rsidR="00C778A3" w:rsidRPr="00204451" w:rsidRDefault="00C778A3" w:rsidP="00204451">
      <w:pPr>
        <w:pStyle w:val="Heading1"/>
      </w:pPr>
      <w:r w:rsidRPr="00204451">
        <w:t>Data</w:t>
      </w:r>
    </w:p>
    <w:p w14:paraId="5489CC9A" w14:textId="77777777" w:rsidR="00D45120" w:rsidRPr="00D45120" w:rsidRDefault="00D45120" w:rsidP="00204451">
      <w:pPr>
        <w:pStyle w:val="ListParagraph"/>
        <w:spacing w:after="0" w:line="240" w:lineRule="auto"/>
        <w:ind w:left="1080"/>
        <w:rPr>
          <w:b/>
        </w:rPr>
      </w:pPr>
    </w:p>
    <w:p w14:paraId="1E279672" w14:textId="22F63FA5" w:rsidR="00BB263C" w:rsidRDefault="3501A413" w:rsidP="00204451">
      <w:pPr>
        <w:spacing w:after="0" w:line="240" w:lineRule="auto"/>
        <w:rPr>
          <w:rFonts w:ascii="Calibri" w:hAnsi="Calibri"/>
        </w:rPr>
      </w:pPr>
      <w:r w:rsidRPr="3501A413">
        <w:rPr>
          <w:rFonts w:ascii="Calibri" w:hAnsi="Calibri"/>
        </w:rPr>
        <w:t xml:space="preserve">Data used in this analysis are from literature that passed the ECOTOX quality screen (catalogued in </w:t>
      </w:r>
      <w:r w:rsidRPr="3501A413">
        <w:rPr>
          <w:rFonts w:ascii="Calibri" w:hAnsi="Calibri"/>
          <w:b/>
          <w:bCs/>
        </w:rPr>
        <w:t>APPENDIX 2-2</w:t>
      </w:r>
      <w:r w:rsidRPr="3501A413">
        <w:rPr>
          <w:rFonts w:ascii="Calibri" w:hAnsi="Calibri"/>
        </w:rPr>
        <w:t xml:space="preserve">) plus data from submitted studies and are detailed in </w:t>
      </w:r>
      <w:r w:rsidRPr="3501A413">
        <w:rPr>
          <w:rFonts w:ascii="Calibri" w:hAnsi="Calibri"/>
          <w:b/>
          <w:bCs/>
        </w:rPr>
        <w:t>Table</w:t>
      </w:r>
      <w:r w:rsidRPr="3501A413">
        <w:rPr>
          <w:rFonts w:ascii="Calibri" w:hAnsi="Calibri"/>
        </w:rPr>
        <w:t xml:space="preserve"> </w:t>
      </w:r>
      <w:r w:rsidRPr="3501A413">
        <w:rPr>
          <w:rFonts w:ascii="Calibri" w:hAnsi="Calibri"/>
          <w:b/>
          <w:bCs/>
        </w:rPr>
        <w:t xml:space="preserve">7 </w:t>
      </w:r>
      <w:r w:rsidRPr="3501A413">
        <w:rPr>
          <w:rFonts w:ascii="Calibri" w:hAnsi="Calibri"/>
        </w:rPr>
        <w:t xml:space="preserve">and </w:t>
      </w:r>
      <w:r w:rsidRPr="3501A413">
        <w:rPr>
          <w:rFonts w:ascii="Calibri" w:hAnsi="Calibri"/>
          <w:b/>
          <w:bCs/>
        </w:rPr>
        <w:t xml:space="preserve">8 </w:t>
      </w:r>
      <w:r w:rsidRPr="3501A413">
        <w:rPr>
          <w:rFonts w:ascii="Calibri" w:hAnsi="Calibri"/>
        </w:rPr>
        <w:t>(end of document).  The EC/LC</w:t>
      </w:r>
      <w:r w:rsidRPr="3501A413">
        <w:rPr>
          <w:rFonts w:ascii="Calibri" w:hAnsi="Calibri"/>
          <w:vertAlign w:val="subscript"/>
        </w:rPr>
        <w:t>50</w:t>
      </w:r>
      <w:r w:rsidRPr="3501A413">
        <w:rPr>
          <w:rFonts w:ascii="Calibri" w:hAnsi="Calibri"/>
        </w:rPr>
        <w:t xml:space="preserve"> values that were included in the analysis were all mortality or immobility endpoints from either 48 or 96-hour tests with technical grade active ingredient.  </w:t>
      </w:r>
      <w:r w:rsidRPr="3501A413">
        <w:rPr>
          <w:rFonts w:ascii="Calibri" w:hAnsi="Calibri"/>
          <w:b/>
          <w:bCs/>
        </w:rPr>
        <w:t>Table</w:t>
      </w:r>
      <w:r w:rsidRPr="3501A413">
        <w:rPr>
          <w:rFonts w:ascii="Calibri" w:hAnsi="Calibri"/>
        </w:rPr>
        <w:t xml:space="preserve"> </w:t>
      </w:r>
      <w:r w:rsidRPr="3501A413">
        <w:rPr>
          <w:rFonts w:ascii="Calibri" w:hAnsi="Calibri"/>
          <w:b/>
          <w:bCs/>
        </w:rPr>
        <w:t xml:space="preserve">2 </w:t>
      </w:r>
      <w:r w:rsidRPr="3501A413">
        <w:rPr>
          <w:rFonts w:ascii="Calibri" w:hAnsi="Calibri"/>
        </w:rPr>
        <w:t xml:space="preserve">provides the distribution of the test results and the number of species represented. </w:t>
      </w:r>
    </w:p>
    <w:p w14:paraId="2D0B2F00" w14:textId="77777777" w:rsidR="00D45120" w:rsidRDefault="00D45120" w:rsidP="00D45120">
      <w:pPr>
        <w:spacing w:after="0" w:line="240" w:lineRule="auto"/>
        <w:rPr>
          <w:rFonts w:ascii="Calibri" w:hAnsi="Calibri"/>
        </w:rPr>
      </w:pPr>
    </w:p>
    <w:p w14:paraId="5663431E" w14:textId="17FBFDFE" w:rsidR="00075B7E" w:rsidRPr="00931CF0" w:rsidRDefault="00075B7E" w:rsidP="00D45120">
      <w:pPr>
        <w:spacing w:after="0" w:line="240" w:lineRule="auto"/>
        <w:rPr>
          <w:rFonts w:ascii="Calibri" w:hAnsi="Calibri"/>
        </w:rPr>
      </w:pPr>
      <w:r w:rsidRPr="00931CF0">
        <w:rPr>
          <w:rFonts w:ascii="Calibri" w:hAnsi="Calibri"/>
          <w:b/>
        </w:rPr>
        <w:t xml:space="preserve">Table 2. Distribution of test results available for </w:t>
      </w:r>
      <w:r w:rsidR="004507BE">
        <w:rPr>
          <w:rFonts w:ascii="Calibri" w:hAnsi="Calibri"/>
          <w:b/>
        </w:rPr>
        <w:t>carbaryl</w:t>
      </w:r>
      <w:r w:rsidR="003D5E46">
        <w:rPr>
          <w:rFonts w:ascii="Calibri" w:hAnsi="Calibri"/>
          <w:b/>
        </w:rPr>
        <w:t>.</w:t>
      </w:r>
    </w:p>
    <w:tbl>
      <w:tblPr>
        <w:tblW w:w="37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350"/>
        <w:gridCol w:w="1080"/>
      </w:tblGrid>
      <w:tr w:rsidR="00075B7E" w:rsidRPr="00931CF0" w14:paraId="1FD6BFB2" w14:textId="77777777" w:rsidTr="00F414FE"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912BA9A" w14:textId="77777777" w:rsidR="00075B7E" w:rsidRPr="00931CF0" w:rsidRDefault="00075B7E" w:rsidP="00D45120">
            <w:pPr>
              <w:spacing w:after="0" w:line="240" w:lineRule="auto"/>
              <w:rPr>
                <w:rFonts w:ascii="Calibri" w:hAnsi="Calibri"/>
              </w:rPr>
            </w:pPr>
            <w:r w:rsidRPr="00931CF0">
              <w:rPr>
                <w:rFonts w:ascii="Calibri" w:hAnsi="Calibri"/>
              </w:rPr>
              <w:t>Media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8D8495" w14:textId="77777777" w:rsidR="00075B7E" w:rsidRPr="00931CF0" w:rsidRDefault="00075B7E" w:rsidP="00D45120">
            <w:pPr>
              <w:spacing w:after="0" w:line="240" w:lineRule="auto"/>
              <w:rPr>
                <w:rFonts w:ascii="Calibri" w:hAnsi="Calibri"/>
              </w:rPr>
            </w:pPr>
            <w:r w:rsidRPr="00931CF0">
              <w:rPr>
                <w:rFonts w:ascii="Calibri" w:hAnsi="Calibri"/>
              </w:rPr>
              <w:t>Test results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6240B6A" w14:textId="77777777" w:rsidR="00075B7E" w:rsidRPr="00931CF0" w:rsidRDefault="00075B7E" w:rsidP="00D45120">
            <w:pPr>
              <w:spacing w:after="0" w:line="240" w:lineRule="auto"/>
              <w:rPr>
                <w:rFonts w:ascii="Calibri" w:hAnsi="Calibri"/>
              </w:rPr>
            </w:pPr>
            <w:r w:rsidRPr="00931CF0">
              <w:rPr>
                <w:rFonts w:ascii="Calibri" w:hAnsi="Calibri"/>
              </w:rPr>
              <w:t>Species</w:t>
            </w:r>
          </w:p>
        </w:tc>
      </w:tr>
      <w:tr w:rsidR="00075B7E" w:rsidRPr="00931CF0" w14:paraId="7414DCC2" w14:textId="77777777" w:rsidTr="00F414FE"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84CF82" w14:textId="77777777" w:rsidR="00075B7E" w:rsidRPr="00931CF0" w:rsidRDefault="00075B7E" w:rsidP="00D45120">
            <w:pPr>
              <w:spacing w:after="0" w:line="240" w:lineRule="auto"/>
              <w:rPr>
                <w:rFonts w:ascii="Calibri" w:hAnsi="Calibri"/>
              </w:rPr>
            </w:pPr>
            <w:r w:rsidRPr="00931CF0">
              <w:rPr>
                <w:rFonts w:ascii="Calibri" w:hAnsi="Calibri"/>
              </w:rPr>
              <w:t>All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E195869" w14:textId="0F191A67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379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61981A" w14:textId="25CEF6C6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</w:tr>
      <w:tr w:rsidR="00075B7E" w:rsidRPr="00931CF0" w14:paraId="1026BFAD" w14:textId="77777777" w:rsidTr="00F414FE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65EAF9" w14:textId="45152C12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Mollusk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F42CE5" w14:textId="76742EBD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6B3040" w14:textId="77777777" w:rsidR="00075B7E" w:rsidRPr="00931CF0" w:rsidRDefault="00075B7E" w:rsidP="00D45120">
            <w:pPr>
              <w:spacing w:after="0" w:line="240" w:lineRule="auto"/>
              <w:rPr>
                <w:rFonts w:ascii="Calibri" w:hAnsi="Calibri"/>
              </w:rPr>
            </w:pPr>
            <w:r w:rsidRPr="00931CF0">
              <w:rPr>
                <w:rFonts w:ascii="Calibri" w:hAnsi="Calibri"/>
              </w:rPr>
              <w:t>15</w:t>
            </w:r>
          </w:p>
        </w:tc>
      </w:tr>
      <w:tr w:rsidR="00075B7E" w:rsidRPr="00931CF0" w14:paraId="3ECB1D0E" w14:textId="77777777" w:rsidTr="00F414FE"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93FAB5" w14:textId="23B26917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Non-mollusk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D05C7B1" w14:textId="235B8415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1CADE9D" w14:textId="28557BA7" w:rsidR="00075B7E" w:rsidRPr="00931CF0" w:rsidRDefault="004507BE" w:rsidP="00D451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</w:tr>
    </w:tbl>
    <w:p w14:paraId="6A371E4E" w14:textId="77777777" w:rsidR="00F8463F" w:rsidRDefault="00F8463F" w:rsidP="00D45120">
      <w:pPr>
        <w:spacing w:after="0" w:line="240" w:lineRule="auto"/>
        <w:rPr>
          <w:rFonts w:ascii="Calibri" w:hAnsi="Calibri"/>
          <w:b/>
        </w:rPr>
      </w:pPr>
    </w:p>
    <w:p w14:paraId="568FA6E7" w14:textId="7C55A7D6" w:rsidR="00F8463F" w:rsidRDefault="00F8463F" w:rsidP="00D45120">
      <w:pPr>
        <w:spacing w:after="0" w:line="240" w:lineRule="auto"/>
        <w:rPr>
          <w:rFonts w:ascii="Calibri" w:hAnsi="Calibri"/>
        </w:rPr>
      </w:pPr>
      <w:r w:rsidRPr="00931CF0">
        <w:rPr>
          <w:rFonts w:ascii="Calibri" w:hAnsi="Calibri"/>
          <w:b/>
        </w:rPr>
        <w:t>Fig</w:t>
      </w:r>
      <w:r w:rsidR="000151CF">
        <w:rPr>
          <w:rFonts w:ascii="Calibri" w:hAnsi="Calibri"/>
          <w:b/>
        </w:rPr>
        <w:t xml:space="preserve">ure </w:t>
      </w:r>
      <w:r w:rsidRPr="00931CF0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</w:t>
      </w:r>
      <w:r w:rsidRPr="00931CF0">
        <w:rPr>
          <w:rFonts w:ascii="Calibri" w:hAnsi="Calibri"/>
        </w:rPr>
        <w:t>show</w:t>
      </w:r>
      <w:r>
        <w:rPr>
          <w:rFonts w:ascii="Calibri" w:hAnsi="Calibri"/>
        </w:rPr>
        <w:t>s</w:t>
      </w:r>
      <w:r w:rsidRPr="00931CF0">
        <w:rPr>
          <w:rFonts w:ascii="Calibri" w:hAnsi="Calibri"/>
        </w:rPr>
        <w:t xml:space="preserve"> the distribution of test results among subsets of invertebrate test results. In general, most species have been tested once</w:t>
      </w:r>
      <w:r>
        <w:rPr>
          <w:rFonts w:ascii="Calibri" w:hAnsi="Calibri"/>
        </w:rPr>
        <w:t xml:space="preserve"> or twice</w:t>
      </w:r>
      <w:r w:rsidRPr="00931CF0">
        <w:rPr>
          <w:rFonts w:ascii="Calibri" w:hAnsi="Calibri"/>
        </w:rPr>
        <w:t xml:space="preserve">, with only </w:t>
      </w:r>
      <w:r>
        <w:rPr>
          <w:rFonts w:ascii="Calibri" w:hAnsi="Calibri"/>
        </w:rPr>
        <w:t xml:space="preserve">four </w:t>
      </w:r>
      <w:r w:rsidRPr="00931CF0">
        <w:rPr>
          <w:rFonts w:ascii="Calibri" w:hAnsi="Calibri"/>
        </w:rPr>
        <w:t xml:space="preserve">species tested </w:t>
      </w:r>
      <w:r>
        <w:rPr>
          <w:rFonts w:ascii="Calibri" w:hAnsi="Calibri"/>
        </w:rPr>
        <w:t>more than 10</w:t>
      </w:r>
      <w:r w:rsidRPr="00931CF0">
        <w:rPr>
          <w:rFonts w:ascii="Calibri" w:hAnsi="Calibri"/>
        </w:rPr>
        <w:t xml:space="preserve"> times</w:t>
      </w:r>
      <w:r w:rsidR="007C01EC">
        <w:rPr>
          <w:rFonts w:ascii="Calibri" w:hAnsi="Calibri"/>
        </w:rPr>
        <w:t>.</w:t>
      </w:r>
      <w:r w:rsidRPr="00931CF0">
        <w:rPr>
          <w:rFonts w:ascii="Calibri" w:hAnsi="Calibri"/>
        </w:rPr>
        <w:t xml:space="preserve"> </w:t>
      </w:r>
    </w:p>
    <w:p w14:paraId="385A2A46" w14:textId="53591415" w:rsidR="00075B7E" w:rsidRDefault="00075B7E" w:rsidP="00BB263C">
      <w:pPr>
        <w:rPr>
          <w:rFonts w:ascii="Calibri" w:hAnsi="Calibri"/>
        </w:rPr>
      </w:pPr>
    </w:p>
    <w:p w14:paraId="1B6456BA" w14:textId="73C6CDB1" w:rsidR="00F8463F" w:rsidRDefault="00F8463F" w:rsidP="00BB263C">
      <w:pPr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4D384387" wp14:editId="41951400">
            <wp:extent cx="6562725" cy="2404110"/>
            <wp:effectExtent l="0" t="0" r="9525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CEAFAF-B5CA-4129-976A-C7CE9AA0A5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9F7642" w14:textId="394BC94C" w:rsidR="00F8463F" w:rsidRPr="00931CF0" w:rsidRDefault="00F8463F" w:rsidP="00F8463F">
      <w:pPr>
        <w:rPr>
          <w:rFonts w:ascii="Calibri" w:hAnsi="Calibri"/>
          <w:b/>
        </w:rPr>
      </w:pPr>
      <w:r w:rsidRPr="00931CF0">
        <w:rPr>
          <w:rFonts w:ascii="Calibri" w:hAnsi="Calibri"/>
          <w:b/>
        </w:rPr>
        <w:t xml:space="preserve">Figure 1. Distribution of test results among taxa in all </w:t>
      </w:r>
      <w:r>
        <w:rPr>
          <w:rFonts w:ascii="Calibri" w:hAnsi="Calibri"/>
          <w:b/>
        </w:rPr>
        <w:t>carbary</w:t>
      </w:r>
      <w:r w:rsidRPr="00931CF0">
        <w:rPr>
          <w:rFonts w:ascii="Calibri" w:hAnsi="Calibri"/>
          <w:b/>
        </w:rPr>
        <w:t>l test results</w:t>
      </w:r>
      <w:r w:rsidR="003D5E46">
        <w:rPr>
          <w:rFonts w:ascii="Calibri" w:hAnsi="Calibri"/>
          <w:b/>
        </w:rPr>
        <w:t>.</w:t>
      </w:r>
    </w:p>
    <w:p w14:paraId="2CCE05F3" w14:textId="77777777" w:rsidR="00F8463F" w:rsidRPr="00931CF0" w:rsidRDefault="00F8463F" w:rsidP="00D45120">
      <w:pPr>
        <w:spacing w:after="0" w:line="240" w:lineRule="auto"/>
        <w:rPr>
          <w:rFonts w:ascii="Calibri" w:hAnsi="Calibri"/>
        </w:rPr>
      </w:pPr>
    </w:p>
    <w:p w14:paraId="34326B98" w14:textId="77777777" w:rsidR="006A7250" w:rsidRPr="0008448B" w:rsidRDefault="006A7250" w:rsidP="00D45120">
      <w:pPr>
        <w:spacing w:after="0" w:line="240" w:lineRule="auto"/>
      </w:pPr>
      <w:r>
        <w:t>Four</w:t>
      </w:r>
      <w:r w:rsidRPr="0008448B">
        <w:t xml:space="preserve"> potential distributions for the </w:t>
      </w:r>
      <w:r>
        <w:t>carbaryl</w:t>
      </w:r>
      <w:r w:rsidRPr="0008448B">
        <w:t xml:space="preserve"> data were considered (log-normal, log-logistic, log-triangular, log-gumbel,).  To fit each of the four distributions, the toxicity values were common log (log</w:t>
      </w:r>
      <w:r w:rsidRPr="0008448B">
        <w:rPr>
          <w:vertAlign w:val="subscript"/>
        </w:rPr>
        <w:t>10</w:t>
      </w:r>
      <w:r w:rsidRPr="0008448B">
        <w:t xml:space="preserve">) transformed. An </w:t>
      </w:r>
      <w:r>
        <w:t>evaluation for</w:t>
      </w:r>
      <w:r w:rsidRPr="0008448B">
        <w:t xml:space="preserve"> fitting separate distributions using Akaike’s information criterion (AIC</w:t>
      </w:r>
      <w:r w:rsidRPr="007C01EC">
        <w:rPr>
          <w:vertAlign w:val="subscript"/>
        </w:rPr>
        <w:t>c</w:t>
      </w:r>
      <w:r w:rsidRPr="0008448B">
        <w:t>) was conducted.  Finally, direct and indirect effect thresholds and report quantiles from the fitted SSDs (</w:t>
      </w:r>
      <w:r>
        <w:t xml:space="preserve">e.g., </w:t>
      </w:r>
      <w:r w:rsidRPr="0008448B">
        <w:t>HC</w:t>
      </w:r>
      <w:r w:rsidRPr="0008448B">
        <w:rPr>
          <w:vertAlign w:val="subscript"/>
        </w:rPr>
        <w:t>05</w:t>
      </w:r>
      <w:r w:rsidRPr="0008448B">
        <w:t>, HC</w:t>
      </w:r>
      <w:r w:rsidRPr="0008448B">
        <w:rPr>
          <w:vertAlign w:val="subscript"/>
        </w:rPr>
        <w:t>50</w:t>
      </w:r>
      <w:r w:rsidRPr="0008448B">
        <w:t>, HC</w:t>
      </w:r>
      <w:r>
        <w:rPr>
          <w:vertAlign w:val="subscript"/>
        </w:rPr>
        <w:t>95</w:t>
      </w:r>
      <w:r w:rsidRPr="0008448B">
        <w:t>) were calculated.</w:t>
      </w:r>
    </w:p>
    <w:p w14:paraId="4266F08E" w14:textId="375CD421" w:rsidR="00D33B1C" w:rsidRDefault="00D33B1C" w:rsidP="0071376A">
      <w:pPr>
        <w:spacing w:after="0" w:line="240" w:lineRule="auto"/>
        <w:rPr>
          <w:b/>
        </w:rPr>
      </w:pPr>
    </w:p>
    <w:p w14:paraId="02275B2B" w14:textId="1D8E3E93" w:rsidR="00A141C5" w:rsidRPr="00204451" w:rsidRDefault="00A141C5" w:rsidP="0071376A">
      <w:pPr>
        <w:pStyle w:val="Heading1"/>
        <w:spacing w:before="0" w:line="240" w:lineRule="auto"/>
      </w:pPr>
      <w:r w:rsidRPr="00204451">
        <w:t>Comparison of distributions using AICc</w:t>
      </w:r>
    </w:p>
    <w:p w14:paraId="7047B0C4" w14:textId="77777777" w:rsidR="00D45120" w:rsidRPr="00A141C5" w:rsidRDefault="00D45120" w:rsidP="0071376A">
      <w:pPr>
        <w:spacing w:after="0" w:line="240" w:lineRule="auto"/>
        <w:rPr>
          <w:b/>
        </w:rPr>
      </w:pPr>
    </w:p>
    <w:p w14:paraId="3AE14375" w14:textId="5836A9EF" w:rsidR="00A141C5" w:rsidRDefault="00E43A28" w:rsidP="00D45120">
      <w:pPr>
        <w:spacing w:after="0" w:line="240" w:lineRule="auto"/>
      </w:pPr>
      <w:r w:rsidRPr="00931CF0">
        <w:rPr>
          <w:rFonts w:ascii="Calibri" w:hAnsi="Calibri"/>
        </w:rPr>
        <w:t>Akaike’s Information Criterion corrected for sample size (AIC</w:t>
      </w:r>
      <w:r w:rsidRPr="00931CF0">
        <w:rPr>
          <w:rFonts w:ascii="Calibri" w:hAnsi="Calibri"/>
          <w:vertAlign w:val="subscript"/>
        </w:rPr>
        <w:t>c</w:t>
      </w:r>
      <w:r w:rsidRPr="00931CF0">
        <w:rPr>
          <w:rFonts w:ascii="Calibri" w:hAnsi="Calibri"/>
        </w:rPr>
        <w:t xml:space="preserve">) </w:t>
      </w:r>
      <w:r w:rsidR="00A141C5" w:rsidRPr="00A141C5">
        <w:t xml:space="preserve">was used to compare the four distributions for </w:t>
      </w:r>
      <w:r w:rsidR="00A07A15">
        <w:t xml:space="preserve">both </w:t>
      </w:r>
      <w:r w:rsidR="00A141C5" w:rsidRPr="00A141C5">
        <w:t>dataset</w:t>
      </w:r>
      <w:r w:rsidR="00A07A15">
        <w:t>s (mollusk and non-mollusk)</w:t>
      </w:r>
      <w:r w:rsidR="00A141C5" w:rsidRPr="00A141C5">
        <w:t>.  For this comparison all SSDs were fit using maximum likelihood</w:t>
      </w:r>
      <w:r w:rsidR="00A07A15">
        <w:t xml:space="preserve"> (</w:t>
      </w:r>
      <w:r w:rsidR="00A07A15" w:rsidRPr="00C803C6">
        <w:rPr>
          <w:b/>
        </w:rPr>
        <w:t xml:space="preserve">Table </w:t>
      </w:r>
      <w:r w:rsidR="00A07A15">
        <w:rPr>
          <w:b/>
        </w:rPr>
        <w:t>3</w:t>
      </w:r>
      <w:r w:rsidR="00A07A15" w:rsidRPr="00C803C6">
        <w:rPr>
          <w:b/>
        </w:rPr>
        <w:t xml:space="preserve"> and </w:t>
      </w:r>
      <w:r w:rsidR="00A07A15">
        <w:rPr>
          <w:b/>
        </w:rPr>
        <w:t>4</w:t>
      </w:r>
      <w:r w:rsidR="00A07A15" w:rsidRPr="00A141C5">
        <w:t>)</w:t>
      </w:r>
      <w:r w:rsidR="00A07A15">
        <w:t>.</w:t>
      </w:r>
    </w:p>
    <w:p w14:paraId="370B90C4" w14:textId="77777777" w:rsidR="00D45120" w:rsidRDefault="00D45120" w:rsidP="00D45120">
      <w:pPr>
        <w:spacing w:after="0" w:line="240" w:lineRule="auto"/>
      </w:pPr>
    </w:p>
    <w:p w14:paraId="6EE5BA3E" w14:textId="2B764226" w:rsidR="00A141C5" w:rsidRDefault="00A141C5" w:rsidP="00D45120">
      <w:pPr>
        <w:keepNext/>
        <w:keepLines/>
        <w:spacing w:after="0" w:line="240" w:lineRule="auto"/>
        <w:rPr>
          <w:b/>
        </w:rPr>
      </w:pPr>
      <w:r w:rsidRPr="0008448B">
        <w:rPr>
          <w:b/>
        </w:rPr>
        <w:t xml:space="preserve">Table </w:t>
      </w:r>
      <w:r w:rsidR="00A07A15">
        <w:rPr>
          <w:b/>
        </w:rPr>
        <w:t>3</w:t>
      </w:r>
      <w:r w:rsidRPr="0008448B">
        <w:rPr>
          <w:b/>
        </w:rPr>
        <w:t xml:space="preserve">. Comparison of distributions for all aquatic </w:t>
      </w:r>
      <w:r>
        <w:rPr>
          <w:b/>
        </w:rPr>
        <w:t xml:space="preserve">non-mollusk </w:t>
      </w:r>
      <w:r w:rsidRPr="0008448B">
        <w:rPr>
          <w:b/>
        </w:rPr>
        <w:t xml:space="preserve">invertebrate toxicity data for </w:t>
      </w:r>
      <w:r w:rsidR="002512AB">
        <w:rPr>
          <w:b/>
        </w:rPr>
        <w:t>c</w:t>
      </w:r>
      <w:r>
        <w:rPr>
          <w:b/>
        </w:rPr>
        <w:t>arbaryl</w:t>
      </w:r>
      <w:r w:rsidR="003D5E46">
        <w:rPr>
          <w:b/>
        </w:rPr>
        <w:t>.</w:t>
      </w:r>
    </w:p>
    <w:p w14:paraId="7E26CC17" w14:textId="77777777" w:rsidR="00730724" w:rsidRPr="0008448B" w:rsidRDefault="00730724" w:rsidP="00D45120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56A65F4A" wp14:editId="336ADB63">
            <wp:extent cx="4352925" cy="24275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61" t="8711" r="22820" b="20557"/>
                    <a:stretch/>
                  </pic:blipFill>
                  <pic:spPr bwMode="auto">
                    <a:xfrm>
                      <a:off x="0" y="0"/>
                      <a:ext cx="4363328" cy="2433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07A07" w14:textId="77777777" w:rsidR="005432AB" w:rsidRDefault="005432AB" w:rsidP="00D45120">
      <w:pPr>
        <w:spacing w:after="0" w:line="240" w:lineRule="auto"/>
        <w:rPr>
          <w:b/>
        </w:rPr>
      </w:pPr>
    </w:p>
    <w:p w14:paraId="43063922" w14:textId="72D487F7" w:rsidR="005432AB" w:rsidRDefault="005432AB" w:rsidP="000D1BA7">
      <w:pPr>
        <w:keepNext/>
        <w:keepLines/>
        <w:spacing w:after="0" w:line="240" w:lineRule="auto"/>
        <w:rPr>
          <w:b/>
        </w:rPr>
      </w:pPr>
      <w:r w:rsidRPr="0008448B">
        <w:rPr>
          <w:b/>
        </w:rPr>
        <w:lastRenderedPageBreak/>
        <w:t xml:space="preserve">Table </w:t>
      </w:r>
      <w:r w:rsidR="00A07A15">
        <w:rPr>
          <w:b/>
        </w:rPr>
        <w:t>4</w:t>
      </w:r>
      <w:r w:rsidRPr="0008448B">
        <w:rPr>
          <w:b/>
        </w:rPr>
        <w:t xml:space="preserve">. Comparison of distributions for all aquatic </w:t>
      </w:r>
      <w:r>
        <w:rPr>
          <w:b/>
        </w:rPr>
        <w:t xml:space="preserve">mollusk </w:t>
      </w:r>
      <w:r w:rsidRPr="0008448B">
        <w:rPr>
          <w:b/>
        </w:rPr>
        <w:t xml:space="preserve">invertebrate toxicity data for </w:t>
      </w:r>
      <w:r w:rsidR="002512AB">
        <w:rPr>
          <w:b/>
        </w:rPr>
        <w:t>c</w:t>
      </w:r>
      <w:r>
        <w:rPr>
          <w:b/>
        </w:rPr>
        <w:t>arbaryl</w:t>
      </w:r>
      <w:r w:rsidR="003D5E46">
        <w:rPr>
          <w:b/>
        </w:rPr>
        <w:t>.</w:t>
      </w:r>
    </w:p>
    <w:p w14:paraId="60CA97FA" w14:textId="77777777" w:rsidR="00730724" w:rsidRPr="0008448B" w:rsidRDefault="00730724" w:rsidP="00D45120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413DCF59" wp14:editId="2CECEA29">
            <wp:extent cx="4410075" cy="2705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724" t="9705" r="23077" b="21385"/>
                    <a:stretch/>
                  </pic:blipFill>
                  <pic:spPr bwMode="auto">
                    <a:xfrm>
                      <a:off x="0" y="0"/>
                      <a:ext cx="44100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54EBA" w14:textId="77777777" w:rsidR="005432AB" w:rsidRPr="00A141C5" w:rsidRDefault="005432AB" w:rsidP="00D45120">
      <w:pPr>
        <w:spacing w:after="0" w:line="240" w:lineRule="auto"/>
      </w:pPr>
    </w:p>
    <w:p w14:paraId="331A078B" w14:textId="1F952305" w:rsidR="005432AB" w:rsidRDefault="005432AB" w:rsidP="00204451">
      <w:pPr>
        <w:pStyle w:val="Heading1"/>
      </w:pPr>
      <w:r w:rsidRPr="005432AB">
        <w:t>Distributions</w:t>
      </w:r>
    </w:p>
    <w:p w14:paraId="51491BEC" w14:textId="77777777" w:rsidR="00D45120" w:rsidRPr="005432AB" w:rsidRDefault="00D45120" w:rsidP="00D45120">
      <w:pPr>
        <w:spacing w:after="0" w:line="240" w:lineRule="auto"/>
      </w:pPr>
    </w:p>
    <w:p w14:paraId="08A02E66" w14:textId="027E5B36" w:rsidR="005432AB" w:rsidRPr="005432AB" w:rsidRDefault="005432AB" w:rsidP="00D45120">
      <w:pPr>
        <w:spacing w:after="0" w:line="240" w:lineRule="auto"/>
      </w:pPr>
      <w:r w:rsidRPr="005432AB">
        <w:t xml:space="preserve">The cumulative distribution functions for the full SSDs is presented in </w:t>
      </w:r>
      <w:r w:rsidRPr="005432AB">
        <w:rPr>
          <w:b/>
        </w:rPr>
        <w:t xml:space="preserve">Figure </w:t>
      </w:r>
      <w:r w:rsidR="005B3EBC">
        <w:rPr>
          <w:b/>
        </w:rPr>
        <w:t>2</w:t>
      </w:r>
      <w:r>
        <w:rPr>
          <w:b/>
        </w:rPr>
        <w:t xml:space="preserve"> </w:t>
      </w:r>
      <w:r w:rsidRPr="00FF20A4">
        <w:t>and</w:t>
      </w:r>
      <w:r>
        <w:rPr>
          <w:b/>
        </w:rPr>
        <w:t xml:space="preserve"> </w:t>
      </w:r>
      <w:r w:rsidR="005B3EBC">
        <w:rPr>
          <w:b/>
        </w:rPr>
        <w:t>3</w:t>
      </w:r>
      <w:r w:rsidRPr="005432AB">
        <w:t xml:space="preserve"> below.  </w:t>
      </w:r>
    </w:p>
    <w:p w14:paraId="0420BCCD" w14:textId="77777777" w:rsidR="00A141C5" w:rsidRPr="00A141C5" w:rsidRDefault="00A141C5" w:rsidP="00D45120">
      <w:pPr>
        <w:spacing w:after="0" w:line="240" w:lineRule="auto"/>
      </w:pPr>
    </w:p>
    <w:p w14:paraId="76F7AB5B" w14:textId="77777777" w:rsidR="005432AB" w:rsidRDefault="005432AB">
      <w:pPr>
        <w:sectPr w:rsidR="005432A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5CCAE" w14:textId="77777777" w:rsidR="00BB0017" w:rsidRDefault="00BB0017"/>
    <w:p w14:paraId="4039E430" w14:textId="77777777" w:rsidR="005432AB" w:rsidRDefault="005432AB"/>
    <w:p w14:paraId="07F3C907" w14:textId="77777777" w:rsidR="005432AB" w:rsidRDefault="005432AB">
      <w:r>
        <w:rPr>
          <w:noProof/>
        </w:rPr>
        <w:drawing>
          <wp:inline distT="0" distB="0" distL="0" distR="0" wp14:anchorId="24D4AC5B" wp14:editId="22B8CCDB">
            <wp:extent cx="8229600" cy="3956837"/>
            <wp:effectExtent l="0" t="0" r="0" b="5715"/>
            <wp:docPr id="827015358" name="Picture 14" descr="G:\Teams and Panels\Special Teams\ESA Pilots\BE_Meth_Carb\DRAFT BEs_Documents in Progress\Carbaryl\Chapters\Chapter 2\Aq Inverts\SSD stuff\nonmollusc logistic SSD 29Sept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5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BEE0" w14:textId="5E70F89A" w:rsidR="005432AB" w:rsidRDefault="005432AB" w:rsidP="005432AB">
      <w:r w:rsidRPr="0008448B">
        <w:rPr>
          <w:b/>
        </w:rPr>
        <w:t xml:space="preserve">Figure </w:t>
      </w:r>
      <w:r w:rsidR="005B3EBC">
        <w:rPr>
          <w:b/>
        </w:rPr>
        <w:t>2</w:t>
      </w:r>
      <w:r w:rsidRPr="0008448B">
        <w:rPr>
          <w:b/>
        </w:rPr>
        <w:t>. Log-</w:t>
      </w:r>
      <w:r>
        <w:rPr>
          <w:b/>
        </w:rPr>
        <w:t>logistic</w:t>
      </w:r>
      <w:r w:rsidRPr="0008448B">
        <w:rPr>
          <w:b/>
        </w:rPr>
        <w:t xml:space="preserve"> SSD for </w:t>
      </w:r>
      <w:r>
        <w:rPr>
          <w:b/>
        </w:rPr>
        <w:t>Carbaryl</w:t>
      </w:r>
      <w:r w:rsidRPr="0008448B">
        <w:rPr>
          <w:b/>
        </w:rPr>
        <w:t xml:space="preserve"> toxicity values for all aquatic </w:t>
      </w:r>
      <w:r>
        <w:rPr>
          <w:b/>
        </w:rPr>
        <w:t xml:space="preserve">non-mollusk </w:t>
      </w:r>
      <w:r w:rsidRPr="0008448B">
        <w:rPr>
          <w:b/>
        </w:rPr>
        <w:t>invertebrates</w:t>
      </w:r>
      <w:r w:rsidR="003D5E46">
        <w:rPr>
          <w:b/>
        </w:rPr>
        <w:t>.</w:t>
      </w:r>
      <w:r w:rsidRPr="0008448B">
        <w:t xml:space="preserve"> </w:t>
      </w:r>
    </w:p>
    <w:p w14:paraId="296E6D18" w14:textId="77777777" w:rsidR="005432AB" w:rsidRDefault="005432AB">
      <w:r>
        <w:br w:type="page"/>
      </w:r>
    </w:p>
    <w:p w14:paraId="0C5C03C5" w14:textId="77777777" w:rsidR="005432AB" w:rsidRDefault="005432AB" w:rsidP="005432AB"/>
    <w:p w14:paraId="41094C12" w14:textId="77777777" w:rsidR="005432AB" w:rsidRPr="0008448B" w:rsidRDefault="005432AB" w:rsidP="005432AB">
      <w:r>
        <w:rPr>
          <w:noProof/>
        </w:rPr>
        <w:drawing>
          <wp:inline distT="0" distB="0" distL="0" distR="0" wp14:anchorId="1F259B2B" wp14:editId="3D5A9792">
            <wp:extent cx="8229600" cy="3956837"/>
            <wp:effectExtent l="0" t="0" r="0" b="5715"/>
            <wp:docPr id="1598974913" name="Picture 15" descr="G:\Teams and Panels\Special Teams\ESA Pilots\BE_Meth_Carb\DRAFT BEs_Documents in Progress\Carbaryl\Chapters\Chapter 2\Aq Inverts\SSD stuff\mollusc SSD triangular w species names 30sept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5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2E86" w14:textId="2EFE1F1D" w:rsidR="005432AB" w:rsidRDefault="005432AB" w:rsidP="005432AB">
      <w:r w:rsidRPr="0008448B">
        <w:rPr>
          <w:b/>
        </w:rPr>
        <w:t xml:space="preserve">Figure </w:t>
      </w:r>
      <w:r w:rsidR="005B3EBC">
        <w:rPr>
          <w:b/>
        </w:rPr>
        <w:t>3</w:t>
      </w:r>
      <w:r w:rsidRPr="0008448B">
        <w:rPr>
          <w:b/>
        </w:rPr>
        <w:t>. Log-</w:t>
      </w:r>
      <w:r>
        <w:rPr>
          <w:b/>
        </w:rPr>
        <w:t>triangular</w:t>
      </w:r>
      <w:r w:rsidRPr="0008448B">
        <w:rPr>
          <w:b/>
        </w:rPr>
        <w:t xml:space="preserve"> SSD for </w:t>
      </w:r>
      <w:r>
        <w:rPr>
          <w:b/>
        </w:rPr>
        <w:t>Carbaryl</w:t>
      </w:r>
      <w:r w:rsidRPr="0008448B">
        <w:rPr>
          <w:b/>
        </w:rPr>
        <w:t xml:space="preserve"> toxicity values for all aquatic </w:t>
      </w:r>
      <w:r>
        <w:rPr>
          <w:b/>
        </w:rPr>
        <w:t xml:space="preserve">mollusk </w:t>
      </w:r>
      <w:r w:rsidRPr="0008448B">
        <w:rPr>
          <w:b/>
        </w:rPr>
        <w:t>invertebrates</w:t>
      </w:r>
      <w:r w:rsidR="003D5E46">
        <w:rPr>
          <w:b/>
        </w:rPr>
        <w:t>.</w:t>
      </w:r>
      <w:r w:rsidRPr="0008448B">
        <w:t xml:space="preserve"> </w:t>
      </w:r>
    </w:p>
    <w:p w14:paraId="60DD984E" w14:textId="77777777" w:rsidR="00BB0017" w:rsidRDefault="00BB0017"/>
    <w:p w14:paraId="3028C912" w14:textId="77777777" w:rsidR="005432AB" w:rsidRDefault="005432AB">
      <w:pPr>
        <w:sectPr w:rsidR="005432AB" w:rsidSect="005432A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B67E20" w14:textId="4E1CA24F" w:rsidR="005432AB" w:rsidRPr="0008448B" w:rsidRDefault="005432AB" w:rsidP="00204451">
      <w:pPr>
        <w:pStyle w:val="Heading1"/>
      </w:pPr>
      <w:r w:rsidRPr="0008448B">
        <w:lastRenderedPageBreak/>
        <w:t xml:space="preserve">Goodness of fit </w:t>
      </w:r>
    </w:p>
    <w:p w14:paraId="1F114926" w14:textId="77777777" w:rsidR="005432AB" w:rsidRPr="0008448B" w:rsidRDefault="005432AB" w:rsidP="004F1D82">
      <w:pPr>
        <w:spacing w:after="0" w:line="240" w:lineRule="auto"/>
      </w:pPr>
    </w:p>
    <w:p w14:paraId="75300121" w14:textId="28FBC723" w:rsidR="005432AB" w:rsidRDefault="005432AB" w:rsidP="004F1D82">
      <w:pPr>
        <w:spacing w:after="0" w:line="240" w:lineRule="auto"/>
      </w:pPr>
      <w:r w:rsidRPr="0008448B">
        <w:t>Finally, to test goodness-of-fit, all</w:t>
      </w:r>
      <w:r>
        <w:t xml:space="preserve"> four</w:t>
      </w:r>
      <w:r w:rsidRPr="0008448B">
        <w:t xml:space="preserve"> distributions for </w:t>
      </w:r>
      <w:r w:rsidR="00B75E65">
        <w:t>carbaryl</w:t>
      </w:r>
      <w:r w:rsidRPr="0008448B">
        <w:t xml:space="preserve"> were fit and ran bootstrap goodness-of-fit tests with 10,000 bootstrap replicates. Maximum likelihood (ML) was used. </w:t>
      </w:r>
      <w:r w:rsidR="00B56168">
        <w:t xml:space="preserve">The results of these fitting exercises are presented below. </w:t>
      </w:r>
      <w:r w:rsidRPr="0008448B">
        <w:t>(</w:t>
      </w:r>
      <w:r w:rsidRPr="0008448B">
        <w:rPr>
          <w:b/>
        </w:rPr>
        <w:t xml:space="preserve">Table </w:t>
      </w:r>
      <w:r w:rsidR="00B56168">
        <w:rPr>
          <w:b/>
        </w:rPr>
        <w:t>5</w:t>
      </w:r>
      <w:r w:rsidR="00B75E65">
        <w:rPr>
          <w:b/>
        </w:rPr>
        <w:t xml:space="preserve"> and </w:t>
      </w:r>
      <w:r w:rsidR="00B56168">
        <w:rPr>
          <w:b/>
        </w:rPr>
        <w:t>6</w:t>
      </w:r>
      <w:r w:rsidRPr="0008448B">
        <w:t xml:space="preserve">).  </w:t>
      </w:r>
    </w:p>
    <w:p w14:paraId="474817E9" w14:textId="77777777" w:rsidR="004F1D82" w:rsidRDefault="004F1D82" w:rsidP="004F1D82">
      <w:pPr>
        <w:spacing w:after="0" w:line="240" w:lineRule="auto"/>
      </w:pPr>
    </w:p>
    <w:p w14:paraId="4E06D022" w14:textId="65FC55FA" w:rsidR="00F215A4" w:rsidRDefault="005432AB" w:rsidP="004F1D82">
      <w:pPr>
        <w:spacing w:after="0" w:line="240" w:lineRule="auto"/>
        <w:rPr>
          <w:b/>
        </w:rPr>
      </w:pPr>
      <w:r w:rsidRPr="0008448B">
        <w:rPr>
          <w:b/>
        </w:rPr>
        <w:t>Ta</w:t>
      </w:r>
      <w:r w:rsidR="00F215A4" w:rsidRPr="0008448B">
        <w:rPr>
          <w:b/>
        </w:rPr>
        <w:t xml:space="preserve">ble </w:t>
      </w:r>
      <w:r w:rsidR="00B56168">
        <w:rPr>
          <w:b/>
        </w:rPr>
        <w:t>5</w:t>
      </w:r>
      <w:r w:rsidR="00F215A4" w:rsidRPr="0008448B">
        <w:rPr>
          <w:b/>
        </w:rPr>
        <w:t>. Range of HC</w:t>
      </w:r>
      <w:r w:rsidR="00F215A4" w:rsidRPr="007C01EC">
        <w:rPr>
          <w:b/>
          <w:vertAlign w:val="subscript"/>
        </w:rPr>
        <w:t>05</w:t>
      </w:r>
      <w:r w:rsidR="00F215A4" w:rsidRPr="0008448B">
        <w:rPr>
          <w:b/>
        </w:rPr>
        <w:t xml:space="preserve"> values for </w:t>
      </w:r>
      <w:r w:rsidR="00F215A4">
        <w:rPr>
          <w:b/>
        </w:rPr>
        <w:t>carbaryl</w:t>
      </w:r>
      <w:r w:rsidR="00F215A4" w:rsidRPr="0008448B">
        <w:rPr>
          <w:b/>
        </w:rPr>
        <w:t xml:space="preserve"> SSDs fit to all </w:t>
      </w:r>
      <w:r w:rsidR="00F215A4">
        <w:rPr>
          <w:b/>
        </w:rPr>
        <w:t xml:space="preserve">non-mollusk </w:t>
      </w:r>
      <w:r w:rsidR="00F215A4" w:rsidRPr="0008448B">
        <w:rPr>
          <w:b/>
        </w:rPr>
        <w:t>invertebrates</w:t>
      </w:r>
      <w:r w:rsidR="003D5E46">
        <w:rPr>
          <w:b/>
        </w:rPr>
        <w:t>.</w:t>
      </w:r>
    </w:p>
    <w:p w14:paraId="766B7CB8" w14:textId="77777777" w:rsidR="00730724" w:rsidRPr="0008448B" w:rsidRDefault="00730724" w:rsidP="004F1D82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261F6D41" wp14:editId="74894E6C">
            <wp:extent cx="5683859" cy="1381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5718" t="17096" r="22299" b="47345"/>
                    <a:stretch/>
                  </pic:blipFill>
                  <pic:spPr bwMode="auto">
                    <a:xfrm>
                      <a:off x="0" y="0"/>
                      <a:ext cx="5692723" cy="138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C8CEB" w14:textId="3BADF997" w:rsidR="00061D0D" w:rsidRPr="00061D0D" w:rsidRDefault="00061D0D" w:rsidP="004F1D82">
      <w:pPr>
        <w:spacing w:after="0" w:line="240" w:lineRule="auto"/>
        <w:rPr>
          <w:rFonts w:eastAsia="Times New Roman" w:cs="Times New Roman"/>
          <w:color w:val="000000"/>
        </w:rPr>
      </w:pPr>
      <w:r w:rsidRPr="00061D0D">
        <w:rPr>
          <w:rFonts w:eastAsia="Times New Roman" w:cs="Times New Roman"/>
          <w:color w:val="000000"/>
        </w:rPr>
        <w:t>LC</w:t>
      </w:r>
      <w:r w:rsidRPr="007C01EC">
        <w:rPr>
          <w:rFonts w:eastAsia="Times New Roman" w:cs="Times New Roman"/>
          <w:color w:val="000000"/>
          <w:vertAlign w:val="subscript"/>
        </w:rPr>
        <w:t>p</w:t>
      </w:r>
      <w:r w:rsidRPr="00061D0D">
        <w:rPr>
          <w:rFonts w:eastAsia="Times New Roman" w:cs="Times New Roman"/>
          <w:color w:val="000000"/>
        </w:rPr>
        <w:t xml:space="preserve"> and UC</w:t>
      </w:r>
      <w:r w:rsidRPr="007C01EC">
        <w:rPr>
          <w:rFonts w:eastAsia="Times New Roman" w:cs="Times New Roman"/>
          <w:color w:val="000000"/>
          <w:vertAlign w:val="subscript"/>
        </w:rPr>
        <w:t>p</w:t>
      </w:r>
      <w:r w:rsidRPr="00061D0D">
        <w:rPr>
          <w:rFonts w:eastAsia="Times New Roman" w:cs="Times New Roman"/>
          <w:color w:val="000000"/>
        </w:rPr>
        <w:t>=projections of the confidence limits of the HC</w:t>
      </w:r>
      <w:r w:rsidRPr="007C01EC">
        <w:rPr>
          <w:rFonts w:eastAsia="Times New Roman" w:cs="Times New Roman"/>
          <w:color w:val="000000"/>
          <w:vertAlign w:val="subscript"/>
        </w:rPr>
        <w:t>05</w:t>
      </w:r>
      <w:r w:rsidRPr="00061D0D">
        <w:rPr>
          <w:rFonts w:eastAsia="Times New Roman" w:cs="Times New Roman"/>
          <w:color w:val="000000"/>
        </w:rPr>
        <w:t xml:space="preserve"> (LC</w:t>
      </w:r>
      <w:r w:rsidRPr="007C01EC">
        <w:rPr>
          <w:rFonts w:eastAsia="Times New Roman" w:cs="Times New Roman"/>
          <w:color w:val="000000"/>
          <w:vertAlign w:val="subscript"/>
        </w:rPr>
        <w:t>x</w:t>
      </w:r>
      <w:r w:rsidRPr="00061D0D">
        <w:rPr>
          <w:rFonts w:eastAsia="Times New Roman" w:cs="Times New Roman"/>
          <w:color w:val="000000"/>
        </w:rPr>
        <w:t xml:space="preserve"> and UC</w:t>
      </w:r>
      <w:r w:rsidRPr="007C01EC">
        <w:rPr>
          <w:rFonts w:eastAsia="Times New Roman" w:cs="Times New Roman"/>
          <w:color w:val="000000"/>
          <w:vertAlign w:val="subscript"/>
        </w:rPr>
        <w:t>x</w:t>
      </w:r>
      <w:r w:rsidRPr="00061D0D">
        <w:rPr>
          <w:rFonts w:eastAsia="Times New Roman" w:cs="Times New Roman"/>
          <w:color w:val="000000"/>
        </w:rPr>
        <w:t>) onto the cumulative distribution functions of the fitted distribution</w:t>
      </w:r>
      <w:r w:rsidR="007C01EC">
        <w:rPr>
          <w:rFonts w:eastAsia="Times New Roman" w:cs="Times New Roman"/>
          <w:color w:val="000000"/>
        </w:rPr>
        <w:t>.</w:t>
      </w:r>
    </w:p>
    <w:p w14:paraId="54D6C067" w14:textId="77777777" w:rsidR="00F215A4" w:rsidRDefault="00F215A4" w:rsidP="004F1D82">
      <w:pPr>
        <w:spacing w:after="0" w:line="240" w:lineRule="auto"/>
        <w:rPr>
          <w:b/>
        </w:rPr>
      </w:pPr>
    </w:p>
    <w:p w14:paraId="4DA00FA0" w14:textId="1C7B4BBD" w:rsidR="00F215A4" w:rsidRPr="0008448B" w:rsidRDefault="00F215A4" w:rsidP="004F1D82">
      <w:pPr>
        <w:spacing w:after="0" w:line="240" w:lineRule="auto"/>
        <w:rPr>
          <w:b/>
        </w:rPr>
      </w:pPr>
      <w:r w:rsidRPr="0008448B">
        <w:rPr>
          <w:b/>
        </w:rPr>
        <w:t xml:space="preserve">Table </w:t>
      </w:r>
      <w:r w:rsidR="00B56168">
        <w:rPr>
          <w:b/>
        </w:rPr>
        <w:t>6</w:t>
      </w:r>
      <w:r w:rsidRPr="0008448B">
        <w:rPr>
          <w:b/>
        </w:rPr>
        <w:t>. Range of HC</w:t>
      </w:r>
      <w:r w:rsidRPr="007C01EC">
        <w:rPr>
          <w:b/>
          <w:vertAlign w:val="subscript"/>
        </w:rPr>
        <w:t>05</w:t>
      </w:r>
      <w:r w:rsidRPr="0008448B">
        <w:rPr>
          <w:b/>
        </w:rPr>
        <w:t xml:space="preserve"> values for </w:t>
      </w:r>
      <w:r>
        <w:rPr>
          <w:b/>
        </w:rPr>
        <w:t>carbaryl</w:t>
      </w:r>
      <w:r w:rsidRPr="0008448B">
        <w:rPr>
          <w:b/>
        </w:rPr>
        <w:t xml:space="preserve"> SSDs fit to all </w:t>
      </w:r>
      <w:r>
        <w:rPr>
          <w:b/>
        </w:rPr>
        <w:t xml:space="preserve">mollusk </w:t>
      </w:r>
      <w:r w:rsidRPr="0008448B">
        <w:rPr>
          <w:b/>
        </w:rPr>
        <w:t>invertebrates</w:t>
      </w:r>
      <w:r w:rsidR="003D5E46">
        <w:rPr>
          <w:b/>
        </w:rPr>
        <w:t>.</w:t>
      </w:r>
    </w:p>
    <w:p w14:paraId="10844FA9" w14:textId="6A772E8C" w:rsidR="00F215A4" w:rsidRDefault="00730724" w:rsidP="004F1D82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407E3F5A" wp14:editId="3E3EB1B3">
            <wp:extent cx="5753100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5609" t="17377" r="21795" b="48197"/>
                    <a:stretch/>
                  </pic:blipFill>
                  <pic:spPr bwMode="auto">
                    <a:xfrm>
                      <a:off x="0" y="0"/>
                      <a:ext cx="5757293" cy="133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DAC86" w14:textId="7748B754" w:rsidR="00B56168" w:rsidRPr="00061D0D" w:rsidRDefault="00B56168" w:rsidP="004F1D82">
      <w:pPr>
        <w:spacing w:after="0" w:line="240" w:lineRule="auto"/>
        <w:rPr>
          <w:rFonts w:eastAsia="Times New Roman" w:cs="Times New Roman"/>
          <w:color w:val="000000"/>
        </w:rPr>
      </w:pPr>
      <w:r w:rsidRPr="00061D0D">
        <w:rPr>
          <w:rFonts w:eastAsia="Times New Roman" w:cs="Times New Roman"/>
          <w:color w:val="000000"/>
        </w:rPr>
        <w:t>LC</w:t>
      </w:r>
      <w:r w:rsidRPr="007C01EC">
        <w:rPr>
          <w:rFonts w:eastAsia="Times New Roman" w:cs="Times New Roman"/>
          <w:color w:val="000000"/>
          <w:vertAlign w:val="subscript"/>
        </w:rPr>
        <w:t>p</w:t>
      </w:r>
      <w:r w:rsidRPr="00061D0D">
        <w:rPr>
          <w:rFonts w:eastAsia="Times New Roman" w:cs="Times New Roman"/>
          <w:color w:val="000000"/>
        </w:rPr>
        <w:t xml:space="preserve"> and UC</w:t>
      </w:r>
      <w:r w:rsidRPr="007C01EC">
        <w:rPr>
          <w:rFonts w:eastAsia="Times New Roman" w:cs="Times New Roman"/>
          <w:color w:val="000000"/>
          <w:vertAlign w:val="subscript"/>
        </w:rPr>
        <w:t>p</w:t>
      </w:r>
      <w:r w:rsidRPr="00061D0D">
        <w:rPr>
          <w:rFonts w:eastAsia="Times New Roman" w:cs="Times New Roman"/>
          <w:color w:val="000000"/>
        </w:rPr>
        <w:t>=projections of the confidence limits of the HC</w:t>
      </w:r>
      <w:r w:rsidRPr="00190702">
        <w:rPr>
          <w:rFonts w:eastAsia="Times New Roman" w:cs="Times New Roman"/>
          <w:color w:val="000000"/>
          <w:vertAlign w:val="subscript"/>
        </w:rPr>
        <w:t>05</w:t>
      </w:r>
      <w:r w:rsidRPr="00061D0D">
        <w:rPr>
          <w:rFonts w:eastAsia="Times New Roman" w:cs="Times New Roman"/>
          <w:color w:val="000000"/>
        </w:rPr>
        <w:t xml:space="preserve"> (LC</w:t>
      </w:r>
      <w:r w:rsidRPr="007C01EC">
        <w:rPr>
          <w:rFonts w:eastAsia="Times New Roman" w:cs="Times New Roman"/>
          <w:color w:val="000000"/>
          <w:vertAlign w:val="subscript"/>
        </w:rPr>
        <w:t>x</w:t>
      </w:r>
      <w:r w:rsidRPr="00061D0D">
        <w:rPr>
          <w:rFonts w:eastAsia="Times New Roman" w:cs="Times New Roman"/>
          <w:color w:val="000000"/>
        </w:rPr>
        <w:t xml:space="preserve"> and UC</w:t>
      </w:r>
      <w:r w:rsidRPr="007C01EC">
        <w:rPr>
          <w:rFonts w:eastAsia="Times New Roman" w:cs="Times New Roman"/>
          <w:color w:val="000000"/>
          <w:vertAlign w:val="subscript"/>
        </w:rPr>
        <w:t>x</w:t>
      </w:r>
      <w:r w:rsidRPr="00061D0D">
        <w:rPr>
          <w:rFonts w:eastAsia="Times New Roman" w:cs="Times New Roman"/>
          <w:color w:val="000000"/>
        </w:rPr>
        <w:t>) onto the cumulative distribution functions of the fitted distribution</w:t>
      </w:r>
      <w:r w:rsidR="007C01EC">
        <w:rPr>
          <w:rFonts w:eastAsia="Times New Roman" w:cs="Times New Roman"/>
          <w:color w:val="000000"/>
        </w:rPr>
        <w:t>.</w:t>
      </w:r>
    </w:p>
    <w:p w14:paraId="7941A059" w14:textId="77777777" w:rsidR="00B56168" w:rsidRDefault="00B56168" w:rsidP="004F1D82">
      <w:pPr>
        <w:spacing w:after="0" w:line="240" w:lineRule="auto"/>
        <w:rPr>
          <w:b/>
        </w:rPr>
      </w:pPr>
    </w:p>
    <w:p w14:paraId="3EF0B467" w14:textId="74F8FE78" w:rsidR="00F215A4" w:rsidRDefault="00F215A4" w:rsidP="00204451">
      <w:pPr>
        <w:pStyle w:val="Heading1"/>
      </w:pPr>
      <w:r w:rsidRPr="0008448B">
        <w:t>Calculation of other quantiles</w:t>
      </w:r>
    </w:p>
    <w:p w14:paraId="248C18BB" w14:textId="77777777" w:rsidR="004F1D82" w:rsidRPr="0008448B" w:rsidRDefault="004F1D82" w:rsidP="004F1D82">
      <w:pPr>
        <w:spacing w:after="0" w:line="240" w:lineRule="auto"/>
        <w:rPr>
          <w:b/>
        </w:rPr>
      </w:pPr>
    </w:p>
    <w:p w14:paraId="33459B20" w14:textId="77777777" w:rsidR="00F215A4" w:rsidRDefault="0009677C" w:rsidP="004F1D82">
      <w:pPr>
        <w:spacing w:after="0" w:line="240" w:lineRule="auto"/>
      </w:pPr>
      <w:r>
        <w:t>For non-mollusks, the HC</w:t>
      </w:r>
      <w:r w:rsidRPr="002D5A60">
        <w:rPr>
          <w:vertAlign w:val="subscript"/>
        </w:rPr>
        <w:t>50</w:t>
      </w:r>
      <w:r>
        <w:t xml:space="preserve"> and HC</w:t>
      </w:r>
      <w:r w:rsidRPr="002D5A60">
        <w:rPr>
          <w:vertAlign w:val="subscript"/>
        </w:rPr>
        <w:t>95</w:t>
      </w:r>
      <w:r>
        <w:t xml:space="preserve"> values were 0.140 and 12 mg/L, respectively, based on the logistic distribution.  For mollusks, the HC</w:t>
      </w:r>
      <w:r w:rsidRPr="002D5A60">
        <w:rPr>
          <w:vertAlign w:val="subscript"/>
        </w:rPr>
        <w:t>50</w:t>
      </w:r>
      <w:r>
        <w:t xml:space="preserve"> and HC</w:t>
      </w:r>
      <w:r w:rsidRPr="002D5A60">
        <w:rPr>
          <w:vertAlign w:val="subscript"/>
        </w:rPr>
        <w:t>95</w:t>
      </w:r>
      <w:r>
        <w:t xml:space="preserve"> values were 19 and 54 mg/L, respectively, based on the triangular distribution. </w:t>
      </w:r>
    </w:p>
    <w:p w14:paraId="63FB225D" w14:textId="77777777" w:rsidR="004F1D82" w:rsidRPr="0008448B" w:rsidRDefault="004F1D82" w:rsidP="004F1D82">
      <w:pPr>
        <w:spacing w:after="0" w:line="240" w:lineRule="auto"/>
      </w:pPr>
    </w:p>
    <w:p w14:paraId="105CEDF3" w14:textId="2F4D823D" w:rsidR="0009677C" w:rsidRDefault="007C5BF9" w:rsidP="00204451">
      <w:pPr>
        <w:pStyle w:val="Heading1"/>
      </w:pPr>
      <w:r>
        <w:t>Determination</w:t>
      </w:r>
      <w:r w:rsidRPr="0009677C">
        <w:t xml:space="preserve"> </w:t>
      </w:r>
      <w:r w:rsidR="0009677C" w:rsidRPr="0009677C">
        <w:t>of thresholds</w:t>
      </w:r>
    </w:p>
    <w:p w14:paraId="3741FD2A" w14:textId="77777777" w:rsidR="004F1D82" w:rsidRDefault="004F1D82" w:rsidP="004F1D82">
      <w:pPr>
        <w:keepNext/>
        <w:keepLines/>
        <w:spacing w:after="0" w:line="240" w:lineRule="auto"/>
        <w:rPr>
          <w:b/>
        </w:rPr>
      </w:pPr>
    </w:p>
    <w:p w14:paraId="02DE218A" w14:textId="1360DABC" w:rsidR="0009677C" w:rsidRPr="0009677C" w:rsidRDefault="007C5BF9" w:rsidP="000151CF">
      <w:pPr>
        <w:keepNext/>
        <w:keepLines/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>HC</w:t>
      </w:r>
      <w:r w:rsidRPr="005F5C1A">
        <w:rPr>
          <w:rFonts w:ascii="Calibri" w:eastAsia="Times New Roman" w:hAnsi="Calibri" w:cs="Times New Roman"/>
          <w:color w:val="000000"/>
          <w:vertAlign w:val="subscript"/>
        </w:rPr>
        <w:t>05</w:t>
      </w:r>
      <w:r>
        <w:rPr>
          <w:rFonts w:ascii="Calibri" w:eastAsia="Times New Roman" w:hAnsi="Calibri" w:cs="Times New Roman"/>
          <w:color w:val="000000"/>
        </w:rPr>
        <w:t xml:space="preserve"> values from the most appropriate distribution and method were used as the t</w:t>
      </w:r>
      <w:r w:rsidRPr="0067331B">
        <w:rPr>
          <w:rFonts w:ascii="Calibri" w:eastAsia="Times New Roman" w:hAnsi="Calibri" w:cs="Times New Roman"/>
          <w:color w:val="000000"/>
        </w:rPr>
        <w:t>h</w:t>
      </w:r>
      <w:r w:rsidRPr="00EB7275">
        <w:rPr>
          <w:rFonts w:ascii="Calibri" w:eastAsia="Times New Roman" w:hAnsi="Calibri" w:cs="Times New Roman"/>
          <w:color w:val="000000"/>
        </w:rPr>
        <w:t xml:space="preserve">resholds </w:t>
      </w:r>
      <w:r>
        <w:rPr>
          <w:rFonts w:ascii="Calibri" w:eastAsia="Times New Roman" w:hAnsi="Calibri" w:cs="Times New Roman"/>
          <w:color w:val="000000"/>
        </w:rPr>
        <w:t>for mollusks and non-mollusks.  The threshold for mollusks is the HC</w:t>
      </w:r>
      <w:r w:rsidRPr="005F5C1A">
        <w:rPr>
          <w:rFonts w:ascii="Calibri" w:eastAsia="Times New Roman" w:hAnsi="Calibri" w:cs="Times New Roman"/>
          <w:color w:val="000000"/>
          <w:vertAlign w:val="subscript"/>
        </w:rPr>
        <w:t>05</w:t>
      </w:r>
      <w:r>
        <w:rPr>
          <w:rFonts w:ascii="Calibri" w:eastAsia="Times New Roman" w:hAnsi="Calibri" w:cs="Times New Roman"/>
          <w:color w:val="000000"/>
        </w:rPr>
        <w:t xml:space="preserve"> value 6600 </w:t>
      </w:r>
      <w:r>
        <w:rPr>
          <w:rFonts w:ascii="Calibri" w:eastAsia="Times New Roman" w:hAnsi="Calibri" w:cs="Calibri"/>
          <w:color w:val="000000"/>
        </w:rPr>
        <w:t>µ</w:t>
      </w:r>
      <w:r>
        <w:rPr>
          <w:rFonts w:ascii="Calibri" w:eastAsia="Times New Roman" w:hAnsi="Calibri" w:cs="Times New Roman"/>
          <w:color w:val="000000"/>
        </w:rPr>
        <w:t>g ai/L, based on the triangular distribution and maximum likelihood (ML) method.  The threshold for non-mollusks is the HC</w:t>
      </w:r>
      <w:r w:rsidRPr="005F5C1A">
        <w:rPr>
          <w:rFonts w:ascii="Calibri" w:eastAsia="Times New Roman" w:hAnsi="Calibri" w:cs="Times New Roman"/>
          <w:color w:val="000000"/>
          <w:vertAlign w:val="subscript"/>
        </w:rPr>
        <w:t>05</w:t>
      </w:r>
      <w:r>
        <w:rPr>
          <w:rFonts w:ascii="Calibri" w:eastAsia="Times New Roman" w:hAnsi="Calibri" w:cs="Times New Roman"/>
          <w:color w:val="000000"/>
        </w:rPr>
        <w:t xml:space="preserve"> value 1.6</w:t>
      </w:r>
      <w:r w:rsidR="00C90E49">
        <w:rPr>
          <w:rFonts w:ascii="Calibri" w:eastAsia="Times New Roman" w:hAnsi="Calibri" w:cs="Times New Roman"/>
          <w:color w:val="000000"/>
        </w:rPr>
        <w:t xml:space="preserve"> </w:t>
      </w:r>
      <w:r w:rsidR="00C90E49">
        <w:rPr>
          <w:rFonts w:ascii="Calibri" w:eastAsia="Times New Roman" w:hAnsi="Calibri" w:cs="Calibri"/>
          <w:color w:val="000000"/>
        </w:rPr>
        <w:t>µ</w:t>
      </w:r>
      <w:r>
        <w:rPr>
          <w:rFonts w:ascii="Calibri" w:eastAsia="Times New Roman" w:hAnsi="Calibri" w:cs="Times New Roman"/>
          <w:color w:val="000000"/>
        </w:rPr>
        <w:t>g ai/L, based on the logistic distribution and ML method.</w:t>
      </w:r>
    </w:p>
    <w:p w14:paraId="17E1F163" w14:textId="146D720E" w:rsidR="000151CF" w:rsidRDefault="00EA6CA4" w:rsidP="000151CF">
      <w:pPr>
        <w:spacing w:after="0" w:line="240" w:lineRule="auto"/>
      </w:pPr>
      <w:r w:rsidRPr="00931CF0">
        <w:rPr>
          <w:rFonts w:ascii="Calibri" w:hAnsi="Calibri"/>
          <w:b/>
        </w:rPr>
        <w:t xml:space="preserve">Table </w:t>
      </w:r>
      <w:r w:rsidR="00FF20A4">
        <w:rPr>
          <w:rFonts w:ascii="Calibri" w:hAnsi="Calibri"/>
          <w:b/>
        </w:rPr>
        <w:t>7</w:t>
      </w:r>
      <w:r w:rsidRPr="00931CF0">
        <w:rPr>
          <w:rFonts w:ascii="Calibri" w:hAnsi="Calibri"/>
        </w:rPr>
        <w:t xml:space="preserve"> provides all of the available EC/LC</w:t>
      </w:r>
      <w:r w:rsidRPr="00931CF0">
        <w:rPr>
          <w:rFonts w:ascii="Calibri" w:hAnsi="Calibri"/>
          <w:vertAlign w:val="subscript"/>
        </w:rPr>
        <w:t>50</w:t>
      </w:r>
      <w:r w:rsidRPr="00931CF0">
        <w:rPr>
          <w:rFonts w:ascii="Calibri" w:hAnsi="Calibri"/>
        </w:rPr>
        <w:t xml:space="preserve"> values (based on immobility and mortality) for </w:t>
      </w:r>
      <w:r w:rsidR="009D73BC">
        <w:rPr>
          <w:rFonts w:ascii="Calibri" w:hAnsi="Calibri"/>
        </w:rPr>
        <w:t xml:space="preserve">non-mollusk </w:t>
      </w:r>
      <w:r w:rsidRPr="00931CF0">
        <w:rPr>
          <w:rFonts w:ascii="Calibri" w:hAnsi="Calibri"/>
        </w:rPr>
        <w:t>aquatic invertebrates (within the 24</w:t>
      </w:r>
      <w:r w:rsidR="009D73BC">
        <w:rPr>
          <w:rFonts w:ascii="Calibri" w:hAnsi="Calibri"/>
        </w:rPr>
        <w:t>-</w:t>
      </w:r>
      <w:r w:rsidRPr="00931CF0">
        <w:rPr>
          <w:rFonts w:ascii="Calibri" w:hAnsi="Calibri"/>
        </w:rPr>
        <w:t xml:space="preserve"> or 48</w:t>
      </w:r>
      <w:r w:rsidR="009D73BC">
        <w:rPr>
          <w:rFonts w:ascii="Calibri" w:hAnsi="Calibri"/>
        </w:rPr>
        <w:t xml:space="preserve">-hour timeframe </w:t>
      </w:r>
      <w:r w:rsidRPr="00931CF0">
        <w:rPr>
          <w:rFonts w:ascii="Calibri" w:hAnsi="Calibri"/>
        </w:rPr>
        <w:t xml:space="preserve">unless otherwise noted).  These data sets are the same as reported in the effects characterization. </w:t>
      </w:r>
      <w:r w:rsidR="0028526E" w:rsidRPr="0008448B">
        <w:t xml:space="preserve">The dataset contained </w:t>
      </w:r>
      <w:r w:rsidR="0028526E">
        <w:t>53</w:t>
      </w:r>
      <w:r w:rsidR="009D73BC">
        <w:t xml:space="preserve"> species</w:t>
      </w:r>
      <w:r w:rsidR="0028526E" w:rsidRPr="0008448B">
        <w:t>.</w:t>
      </w:r>
    </w:p>
    <w:p w14:paraId="2418A661" w14:textId="77777777" w:rsidR="000151CF" w:rsidRPr="000151CF" w:rsidRDefault="000151CF" w:rsidP="000151CF">
      <w:pPr>
        <w:spacing w:after="0" w:line="240" w:lineRule="auto"/>
      </w:pPr>
    </w:p>
    <w:p w14:paraId="4DDFAA37" w14:textId="25C1498F" w:rsidR="0028526E" w:rsidRPr="0008448B" w:rsidRDefault="0028526E" w:rsidP="00FF20A4">
      <w:pPr>
        <w:keepNext/>
        <w:keepLines/>
        <w:spacing w:after="0" w:line="240" w:lineRule="auto"/>
        <w:rPr>
          <w:b/>
        </w:rPr>
      </w:pPr>
      <w:r w:rsidRPr="0008448B">
        <w:rPr>
          <w:b/>
        </w:rPr>
        <w:t xml:space="preserve">Table </w:t>
      </w:r>
      <w:r w:rsidR="00FF20A4">
        <w:rPr>
          <w:b/>
        </w:rPr>
        <w:t>7</w:t>
      </w:r>
      <w:r w:rsidRPr="0008448B">
        <w:rPr>
          <w:b/>
        </w:rPr>
        <w:t xml:space="preserve">. Distribution of test results available for </w:t>
      </w:r>
      <w:r w:rsidR="003D5E46">
        <w:rPr>
          <w:b/>
        </w:rPr>
        <w:t>c</w:t>
      </w:r>
      <w:r>
        <w:rPr>
          <w:b/>
        </w:rPr>
        <w:t xml:space="preserve">arbaryl for </w:t>
      </w:r>
      <w:r w:rsidR="003D5E46">
        <w:rPr>
          <w:b/>
        </w:rPr>
        <w:t>n</w:t>
      </w:r>
      <w:r>
        <w:rPr>
          <w:b/>
        </w:rPr>
        <w:t>on-mollusks</w:t>
      </w:r>
      <w:r w:rsidR="003D5E46">
        <w:rPr>
          <w:b/>
        </w:rPr>
        <w:t>.</w:t>
      </w:r>
    </w:p>
    <w:tbl>
      <w:tblPr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408"/>
        <w:gridCol w:w="1710"/>
      </w:tblGrid>
      <w:tr w:rsidR="0028526E" w:rsidRPr="00C778A3" w14:paraId="2413FD46" w14:textId="77777777" w:rsidTr="000151CF">
        <w:trPr>
          <w:trHeight w:val="300"/>
          <w:tblHeader/>
        </w:trPr>
        <w:tc>
          <w:tcPr>
            <w:tcW w:w="3357" w:type="dxa"/>
            <w:shd w:val="clear" w:color="auto" w:fill="E7E6E6" w:themeFill="background2"/>
            <w:noWrap/>
            <w:vAlign w:val="bottom"/>
            <w:hideMark/>
          </w:tcPr>
          <w:p w14:paraId="1891CE35" w14:textId="77777777" w:rsidR="0028526E" w:rsidRPr="002D5A60" w:rsidRDefault="0028526E" w:rsidP="00FF20A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Species</w:t>
            </w:r>
          </w:p>
        </w:tc>
        <w:tc>
          <w:tcPr>
            <w:tcW w:w="1408" w:type="dxa"/>
            <w:shd w:val="clear" w:color="auto" w:fill="E7E6E6" w:themeFill="background2"/>
            <w:noWrap/>
            <w:vAlign w:val="bottom"/>
            <w:hideMark/>
          </w:tcPr>
          <w:p w14:paraId="2CA09302" w14:textId="77777777" w:rsidR="0028526E" w:rsidRPr="002D5A60" w:rsidRDefault="0028526E" w:rsidP="00FF20A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Acute LC</w:t>
            </w:r>
            <w:r w:rsidRPr="002D5A60"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>50</w:t>
            </w: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 xml:space="preserve"> value (mg/L)</w:t>
            </w:r>
          </w:p>
        </w:tc>
        <w:tc>
          <w:tcPr>
            <w:tcW w:w="1710" w:type="dxa"/>
            <w:shd w:val="clear" w:color="auto" w:fill="E7E6E6" w:themeFill="background2"/>
            <w:noWrap/>
            <w:vAlign w:val="bottom"/>
            <w:hideMark/>
          </w:tcPr>
          <w:p w14:paraId="27347FB5" w14:textId="77777777" w:rsidR="0028526E" w:rsidRPr="002D5A60" w:rsidRDefault="0028526E" w:rsidP="00FF20A4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Reference</w:t>
            </w:r>
          </w:p>
        </w:tc>
      </w:tr>
      <w:tr w:rsidR="0028526E" w:rsidRPr="00C778A3" w14:paraId="78A1268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DE83AF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aegypti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2A51E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9595D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116328</w:t>
            </w:r>
          </w:p>
        </w:tc>
      </w:tr>
      <w:tr w:rsidR="0028526E" w:rsidRPr="00C778A3" w14:paraId="27F9C88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950CED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aegypti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1B928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D1140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101154</w:t>
            </w:r>
          </w:p>
        </w:tc>
      </w:tr>
      <w:tr w:rsidR="0028526E" w:rsidRPr="00C778A3" w14:paraId="47539EC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48EAC2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aegypti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6FF89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A176B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101154</w:t>
            </w:r>
          </w:p>
        </w:tc>
      </w:tr>
      <w:tr w:rsidR="0028526E" w:rsidRPr="00C778A3" w14:paraId="764AA7F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DFFD5E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aegypti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BE821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91B7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170313</w:t>
            </w:r>
          </w:p>
        </w:tc>
      </w:tr>
      <w:tr w:rsidR="0028526E" w:rsidRPr="00C778A3" w14:paraId="7721DD0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91A7B8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albopictus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01F14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92786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87671</w:t>
            </w:r>
          </w:p>
        </w:tc>
      </w:tr>
      <w:tr w:rsidR="0028526E" w:rsidRPr="00C778A3" w14:paraId="7C42610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92A79F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caspius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95D9C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4.79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CFF04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13544</w:t>
            </w:r>
          </w:p>
        </w:tc>
      </w:tr>
      <w:tr w:rsidR="0028526E" w:rsidRPr="00C778A3" w14:paraId="302D475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9907BE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sollicitans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EEB95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48353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119693</w:t>
            </w:r>
          </w:p>
        </w:tc>
      </w:tr>
      <w:tr w:rsidR="0028526E" w:rsidRPr="00C778A3" w14:paraId="4DE89F7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4165A0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Aedes sollicitans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878ED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37F839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119693</w:t>
            </w:r>
          </w:p>
        </w:tc>
      </w:tr>
      <w:tr w:rsidR="0028526E" w:rsidRPr="00C778A3" w14:paraId="55E3F50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03A36A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Ameletus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4F74C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0.008772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3F63C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47C6B1C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53BF3A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FFD71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0.0057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EA68E2" w14:textId="77777777" w:rsidR="0028526E" w:rsidRPr="00C778A3" w:rsidRDefault="0028526E" w:rsidP="007C01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MRID 42343401</w:t>
            </w:r>
          </w:p>
        </w:tc>
      </w:tr>
      <w:tr w:rsidR="0028526E" w:rsidRPr="00C778A3" w14:paraId="5D4C2DD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C9E9C3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DBFF6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1E15A2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4891</w:t>
            </w:r>
          </w:p>
        </w:tc>
      </w:tr>
      <w:tr w:rsidR="0028526E" w:rsidRPr="00C778A3" w14:paraId="00EE828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E872FE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457D7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BEC3D0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115740</w:t>
            </w:r>
          </w:p>
        </w:tc>
      </w:tr>
      <w:tr w:rsidR="0028526E" w:rsidRPr="00C778A3" w14:paraId="4584261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9130D8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F9BCC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CBABA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115740</w:t>
            </w:r>
          </w:p>
        </w:tc>
      </w:tr>
      <w:tr w:rsidR="0028526E" w:rsidRPr="00C778A3" w14:paraId="22AFACE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9B5273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ADC53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0.00884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749CC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115740</w:t>
            </w:r>
          </w:p>
        </w:tc>
      </w:tr>
      <w:tr w:rsidR="0028526E" w:rsidRPr="00C778A3" w14:paraId="0BC86EC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887EFC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205ABE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EA0D99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115740</w:t>
            </w:r>
          </w:p>
        </w:tc>
      </w:tr>
      <w:tr w:rsidR="0028526E" w:rsidRPr="00C778A3" w14:paraId="14EB1F2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34F1BA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E5324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FC5DE3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225639E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16EB1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46B07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ECCBE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4758BAB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0F7169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2BC03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79810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6854830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200245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Americamysis bahia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80303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C5C64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4DD4D71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D32CF2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Anopheles albimanus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42B6F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71A50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11596</w:t>
            </w:r>
          </w:p>
        </w:tc>
      </w:tr>
      <w:tr w:rsidR="0028526E" w:rsidRPr="00C778A3" w14:paraId="0080162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94C1CC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Anopheles pharoensis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F95B4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42EBFC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100907</w:t>
            </w:r>
          </w:p>
        </w:tc>
      </w:tr>
      <w:tr w:rsidR="0028526E" w:rsidRPr="00C778A3" w14:paraId="24FE385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CDF90D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Anopheles stephensi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C56A4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0.3425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8B95C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109633</w:t>
            </w:r>
          </w:p>
        </w:tc>
      </w:tr>
      <w:tr w:rsidR="0028526E" w:rsidRPr="00C778A3" w14:paraId="6365567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7C4C9F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Anopheles stephensi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84A01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FF1F6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101154</w:t>
            </w:r>
          </w:p>
        </w:tc>
      </w:tr>
      <w:tr w:rsidR="0028526E" w:rsidRPr="00C778A3" w14:paraId="7B709FE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1B3D4B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Anopheles stephensi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AF58D5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3BEFF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101154</w:t>
            </w:r>
          </w:p>
        </w:tc>
      </w:tr>
      <w:tr w:rsidR="0028526E" w:rsidRPr="00C778A3" w14:paraId="67612E0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B3595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Anopheles stephensi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76C17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E88C7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11799</w:t>
            </w:r>
          </w:p>
        </w:tc>
      </w:tr>
      <w:tr w:rsidR="0028526E" w:rsidRPr="00C778A3" w14:paraId="38D6361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62EE3D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Arbacia punctulata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E74BC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53E71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144989F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E652D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Artemia salina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05FD2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0.350131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CE316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20076</w:t>
            </w:r>
          </w:p>
        </w:tc>
      </w:tr>
      <w:tr w:rsidR="0028526E" w:rsidRPr="00C778A3" w14:paraId="20DE25D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43FA5B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Artemia salina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C66D5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5.916009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F5EBF4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20076</w:t>
            </w:r>
          </w:p>
        </w:tc>
      </w:tr>
      <w:tr w:rsidR="0028526E" w:rsidRPr="00C778A3" w14:paraId="4A585EA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55DC75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Artemia salina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B4936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27.5678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8848A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20076</w:t>
            </w:r>
          </w:p>
        </w:tc>
      </w:tr>
      <w:tr w:rsidR="0028526E" w:rsidRPr="00C778A3" w14:paraId="0567095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B34E02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Austrolestes colensonis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688E33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3.1309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813F5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67674</w:t>
            </w:r>
          </w:p>
        </w:tc>
      </w:tr>
      <w:tr w:rsidR="0028526E" w:rsidRPr="00C778A3" w14:paraId="2BA618A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CDD9B9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Barytelphusa cunicularis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A6623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9.55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12D5E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88807</w:t>
            </w:r>
          </w:p>
        </w:tc>
      </w:tr>
      <w:tr w:rsidR="0028526E" w:rsidRPr="00C778A3" w14:paraId="4686C55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E0B940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Barytelphusa cunicularis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3BC67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9.65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38790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88807</w:t>
            </w:r>
          </w:p>
        </w:tc>
      </w:tr>
      <w:tr w:rsidR="0028526E" w:rsidRPr="00C778A3" w14:paraId="1630D55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B4CD03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Barytelphusa cunicularis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DC269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9.75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C0740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88807</w:t>
            </w:r>
          </w:p>
        </w:tc>
      </w:tr>
      <w:tr w:rsidR="0028526E" w:rsidRPr="00C778A3" w14:paraId="6301415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A7624E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Bosmina fatalis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7397A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0.004075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8CB4C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81396</w:t>
            </w:r>
          </w:p>
        </w:tc>
      </w:tr>
      <w:tr w:rsidR="0028526E" w:rsidRPr="00C778A3" w14:paraId="3421B66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2338B4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Bosmina longirostris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730E3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0.008597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F6262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81396</w:t>
            </w:r>
          </w:p>
        </w:tc>
      </w:tr>
      <w:tr w:rsidR="0028526E" w:rsidRPr="00C778A3" w14:paraId="1687B85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5E5A6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Brachionus calyciflorus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BF70A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5239F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160585</w:t>
            </w:r>
          </w:p>
        </w:tc>
      </w:tr>
      <w:tr w:rsidR="0028526E" w:rsidRPr="00C778A3" w14:paraId="79F3237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FB8A19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Brachycentrus americanus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1D48C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0.017716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7E93A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6D0B9F1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FA4761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Caecidotea brevicauda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53B69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915F8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</w:tr>
      <w:tr w:rsidR="0028526E" w:rsidRPr="00C778A3" w14:paraId="69CAF53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1E3A47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Caecidotea brevicauda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28C14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78C3B4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3B56C7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2F65A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Caecidotea brevicauda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5B837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D0721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</w:tr>
      <w:tr w:rsidR="0028526E" w:rsidRPr="00C778A3" w14:paraId="0900586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20EED1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Caecidotea brevicauda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AA7FB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F2930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055E20A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D4D2D5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Calineuria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D1DB2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0.007439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D0E14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3AAC996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718712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Calineuria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BAAD8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0.01075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79F05C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0B337B2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A86BC0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Calineuria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E8DCD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6D250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25620A9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10864A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Calineuria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0B351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0.489942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FF761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468FD9C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D3C886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Calineuria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4A0A4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0.7439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78E90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57ECFF7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A372D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479E5D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3726DD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5D48347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A1145B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AC038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11070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7F95029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612BD8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FD081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2CD28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5634106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290751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E94D2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426B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48000A2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66567F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52BCA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1B726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7A3B6DC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92008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2B727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2.41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DD3324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40ED9D2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4EE814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Cambarus bartonii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E20D2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71F903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33EE423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6B19F1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Cancer magister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31976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48A97C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62B2FFD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66F921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Cancer magister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44998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C3B99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3B60DDF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80DA0D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Ceriodaphnia dubia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E11C4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0.00306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056E3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17138</w:t>
            </w:r>
          </w:p>
        </w:tc>
      </w:tr>
      <w:tr w:rsidR="0028526E" w:rsidRPr="00C778A3" w14:paraId="647DABD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E30EF6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Ceriodaphnia dubia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5C261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2F2A7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3590</w:t>
            </w:r>
          </w:p>
        </w:tc>
      </w:tr>
      <w:tr w:rsidR="0028526E" w:rsidRPr="00C778A3" w14:paraId="56E4AF4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372EC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Ceriodaphnia dubia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0B4F6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F30A7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C778A3" w14:paraId="49F166B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E25E86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Ceriodaphnia reticulata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F52741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0.00225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3B7B2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7675EB4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CFEF7A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Cheumatopsyche brevilineata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70058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9104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152279</w:t>
            </w:r>
          </w:p>
        </w:tc>
      </w:tr>
      <w:tr w:rsidR="0028526E" w:rsidRPr="00C778A3" w14:paraId="29EFC9D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4D103E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Cheumatopsyche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9066D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0.0594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C6852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171507</w:t>
            </w:r>
          </w:p>
        </w:tc>
      </w:tr>
      <w:tr w:rsidR="0028526E" w:rsidRPr="00C778A3" w14:paraId="09AABD9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F2029A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EB696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37D31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033307E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637998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09A3D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DE3F6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21E470E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7C3905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8669B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92CD8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2A262A6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3CCA0E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461E0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FAD7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58393DB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535ED7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E4AB1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F84E45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38E0D64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7017A6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C1DB5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07B61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3278</w:t>
            </w:r>
          </w:p>
        </w:tc>
      </w:tr>
      <w:tr w:rsidR="0028526E" w:rsidRPr="00C778A3" w14:paraId="3865BD5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489913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9433D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95583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541F164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21CEB8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8358E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F57F3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18935</w:t>
            </w:r>
          </w:p>
        </w:tc>
      </w:tr>
      <w:tr w:rsidR="0028526E" w:rsidRPr="00C778A3" w14:paraId="402CF1E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7A6C12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4D4F8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F0139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7692285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4A226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15EB2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0.1045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EB4A6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6830</w:t>
            </w:r>
          </w:p>
        </w:tc>
      </w:tr>
      <w:tr w:rsidR="0028526E" w:rsidRPr="00C778A3" w14:paraId="6216C81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02239B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0C1C0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79C4BD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215766F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F0697F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00730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4A02B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3278</w:t>
            </w:r>
          </w:p>
        </w:tc>
      </w:tr>
      <w:tr w:rsidR="0028526E" w:rsidRPr="00C778A3" w14:paraId="357D1F2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1162A4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A61057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1B82F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39AEEF0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C2186B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3B03D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0FEAC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74A5043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714701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1D74C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14EBC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18935</w:t>
            </w:r>
          </w:p>
        </w:tc>
      </w:tr>
      <w:tr w:rsidR="0028526E" w:rsidRPr="00C778A3" w14:paraId="633F4B7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99F4ED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9FF2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1F8BB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397076A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E3FBEC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85720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74BC8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711979B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84E40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2D721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7F562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464E366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95FA0B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A4BB7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B9506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7B4D891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18A66C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96048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738DB9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3278</w:t>
            </w:r>
          </w:p>
        </w:tc>
      </w:tr>
      <w:tr w:rsidR="0028526E" w:rsidRPr="00C778A3" w14:paraId="6902DA1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890677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DEC1E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C1D48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259D8DF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D75942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C14F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24BE1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5A75DFF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85CF2A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D514E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8EE86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664ED86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71E54A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A1AA6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12623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</w:tr>
      <w:tr w:rsidR="0028526E" w:rsidRPr="00C778A3" w14:paraId="78F03C2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9D0F45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riparius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3B3A7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3E1D2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18935</w:t>
            </w:r>
          </w:p>
        </w:tc>
      </w:tr>
      <w:tr w:rsidR="0028526E" w:rsidRPr="00C778A3" w14:paraId="5CBC7D4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341653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D5955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D050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6267</w:t>
            </w:r>
          </w:p>
        </w:tc>
      </w:tr>
      <w:tr w:rsidR="0028526E" w:rsidRPr="00C778A3" w14:paraId="1A286A6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61E814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51758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15960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6267</w:t>
            </w:r>
          </w:p>
        </w:tc>
      </w:tr>
      <w:tr w:rsidR="0028526E" w:rsidRPr="00C778A3" w14:paraId="30CC29B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8784B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FAD49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B99D1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6267</w:t>
            </w:r>
          </w:p>
        </w:tc>
      </w:tr>
      <w:tr w:rsidR="0028526E" w:rsidRPr="00C778A3" w14:paraId="1845088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369FBD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EF728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0A3FF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0057E62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B63F68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F6A08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79D11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3657058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7245A6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ADEAA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0FF5D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6AD38D3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37C16B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Chironomus tentans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810C7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C7960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5C3D9AB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0DD6EC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Chloroperla grammatica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F026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FA5FE4" w14:textId="77777777" w:rsidR="0028526E" w:rsidRPr="00C778A3" w:rsidRDefault="0028526E" w:rsidP="007C01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MRID 40098001</w:t>
            </w:r>
          </w:p>
        </w:tc>
      </w:tr>
      <w:tr w:rsidR="0028526E" w:rsidRPr="00C778A3" w14:paraId="19E7DE3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2649C0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Chydorus sphaericus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C2413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4D775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31E40C8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F455BE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E4221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0.004773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FC660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675AD17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4C1E1B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FD5D0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0.07095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EE5F7A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7B7C4B8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2223EC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CF713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0.08772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37672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1141638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A6990F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EC474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0.08772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78257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6BFF5F3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494E9A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FD52FF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0.0946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9E17A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3045BB3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EF4246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26885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0.17544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4A7A6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41200C2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E2C475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B9689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0.17544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EF15B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175F04D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57F20E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1D93C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0.17544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EBC42E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430A51D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3486D4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948B0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0.36464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A6E77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2591358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DF272E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2E106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0.4386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7384A8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528BC78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EC047C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8D6F4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0.4386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40C6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77CB6AC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773055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A0153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0.4386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5AFD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0F747CD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1CCF2D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Cinygma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8C439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0.4386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0B02B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62450</w:t>
            </w:r>
          </w:p>
        </w:tc>
      </w:tr>
      <w:tr w:rsidR="0028526E" w:rsidRPr="00C778A3" w14:paraId="559FDDE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E6848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Claassenia sabulosa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76CD8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B7FE3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ECA120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1114FB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Claassenia sabulosa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2C2D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D656B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705D2D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921BB0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fatigans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11EA3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54246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101154</w:t>
            </w:r>
          </w:p>
        </w:tc>
      </w:tr>
      <w:tr w:rsidR="0028526E" w:rsidRPr="00C778A3" w14:paraId="5D42F98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57593B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fatigans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B17E2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412C0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101154</w:t>
            </w:r>
          </w:p>
        </w:tc>
      </w:tr>
      <w:tr w:rsidR="0028526E" w:rsidRPr="00C778A3" w14:paraId="5A6E437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D6BD34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96760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3B065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103319</w:t>
            </w:r>
          </w:p>
        </w:tc>
      </w:tr>
      <w:tr w:rsidR="0028526E" w:rsidRPr="00C778A3" w14:paraId="0F1DB97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31F179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D953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76656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103319</w:t>
            </w:r>
          </w:p>
        </w:tc>
      </w:tr>
      <w:tr w:rsidR="0028526E" w:rsidRPr="00C778A3" w14:paraId="4C50394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613D9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855DA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67345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103319</w:t>
            </w:r>
          </w:p>
        </w:tc>
      </w:tr>
      <w:tr w:rsidR="0028526E" w:rsidRPr="00C778A3" w14:paraId="70C3E6B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CB18DA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93B6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C58D1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103319</w:t>
            </w:r>
          </w:p>
        </w:tc>
      </w:tr>
      <w:tr w:rsidR="0028526E" w:rsidRPr="00C778A3" w14:paraId="6D05F19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67695A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590BA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20DE8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61088</w:t>
            </w:r>
          </w:p>
        </w:tc>
      </w:tr>
      <w:tr w:rsidR="0028526E" w:rsidRPr="00C778A3" w14:paraId="5418F2B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811A35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B5168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2D260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103319</w:t>
            </w:r>
          </w:p>
        </w:tc>
      </w:tr>
      <w:tr w:rsidR="0028526E" w:rsidRPr="00C778A3" w14:paraId="345B43F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C2479B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Culex pipiens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5F8CB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A6641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103319</w:t>
            </w:r>
          </w:p>
        </w:tc>
      </w:tr>
      <w:tr w:rsidR="0028526E" w:rsidRPr="00C778A3" w14:paraId="3D74424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C4C152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pipiens ssp. molestus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D3731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4.56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F447D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13544</w:t>
            </w:r>
          </w:p>
        </w:tc>
      </w:tr>
      <w:tr w:rsidR="0028526E" w:rsidRPr="00C778A3" w14:paraId="2819A4A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0200C8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quinquefasciatus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8CF28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241F9D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63336</w:t>
            </w:r>
          </w:p>
        </w:tc>
      </w:tr>
      <w:tr w:rsidR="0028526E" w:rsidRPr="00C778A3" w14:paraId="601E09C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ACECA2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quinquefasciatus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2DFD1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0.3794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152CA0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119438</w:t>
            </w:r>
          </w:p>
        </w:tc>
      </w:tr>
      <w:tr w:rsidR="0028526E" w:rsidRPr="00C778A3" w14:paraId="094F593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B69BB7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quinquefasciatus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24A5F1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2E9D2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61088</w:t>
            </w:r>
          </w:p>
        </w:tc>
      </w:tr>
      <w:tr w:rsidR="0028526E" w:rsidRPr="00C778A3" w14:paraId="15FFE8D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1ED62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quinquefasciatus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0B102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769A0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63336</w:t>
            </w:r>
          </w:p>
        </w:tc>
      </w:tr>
      <w:tr w:rsidR="0028526E" w:rsidRPr="00C778A3" w14:paraId="25BC79E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5955CD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tarsalis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16CBC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93F21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94524</w:t>
            </w:r>
          </w:p>
        </w:tc>
      </w:tr>
      <w:tr w:rsidR="0028526E" w:rsidRPr="00C778A3" w14:paraId="2DB855D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A9CBF3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Culex tarsalis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60CBA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72306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94524</w:t>
            </w:r>
          </w:p>
        </w:tc>
      </w:tr>
      <w:tr w:rsidR="0028526E" w:rsidRPr="00C778A3" w14:paraId="7886B4F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3C29C6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Cypretta kawatai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F81B0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329B8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389A233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2DA00E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Cypretta kawatai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62C57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3F1F2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01768A2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45898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Cypretta kawatai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B9379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965CE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3EDD3D2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B9E75E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Cypretta kawatai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1DC4D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5.28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15013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7796</w:t>
            </w:r>
          </w:p>
        </w:tc>
      </w:tr>
      <w:tr w:rsidR="0028526E" w:rsidRPr="00C778A3" w14:paraId="1499C4D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880D42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Cypridopsis vidua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575F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FF351E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7E9BBBE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A212F3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Cypridopsis vidua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1E2DC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CECD0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6B2EC8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783DE7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carinata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FA3D6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120E1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5194</w:t>
            </w:r>
          </w:p>
        </w:tc>
      </w:tr>
      <w:tr w:rsidR="0028526E" w:rsidRPr="00C778A3" w14:paraId="5E20C63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929F4E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carinata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A427C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97583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5194</w:t>
            </w:r>
          </w:p>
        </w:tc>
      </w:tr>
      <w:tr w:rsidR="0028526E" w:rsidRPr="00C778A3" w14:paraId="775E674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60422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galeata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D7CCA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D2283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3066616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BACF4C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370BA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0.00066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C6B0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5539</w:t>
            </w:r>
          </w:p>
        </w:tc>
      </w:tr>
      <w:tr w:rsidR="0028526E" w:rsidRPr="00C778A3" w14:paraId="614FB15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2B26CD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05C9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0C135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8BC4B0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9547A8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EC7D6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93D0C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1973B2F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A96963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0CC96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97CBD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6CE2BEA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6A5D95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38ED09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8E60F3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65B5214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1B9927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34D23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728DC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0FF0CEC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0CA2D1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30506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8534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296A5E3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43949F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D6450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22999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33821C0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0AC43D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B422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983DA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05C12BF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17991F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E128F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BEC5D3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18AC274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EC0C83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CEFC1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A9EB1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5503AFB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F6A729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BA77A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8DEE8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25067D6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978EC3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0A4FD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A6F4B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20F95F2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504998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81A43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486586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11FA241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9C318F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A129A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C88DF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59D0640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47D34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81693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AD563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7388097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9A2C4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A22B9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6EFA6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3AB90F4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E01D3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CD413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4B8EF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003E97A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88BACF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779D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DA92C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5370</w:t>
            </w:r>
          </w:p>
        </w:tc>
      </w:tr>
      <w:tr w:rsidR="0028526E" w:rsidRPr="00C778A3" w14:paraId="20D62A8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C4D42D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09925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3FD4D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28F966B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329796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22EC0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C6E98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2DD941A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E6345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7236A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A8AB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3597554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B7616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1FA04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55908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2F7E70F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9AE64E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618D9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80CE7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37F4BC5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0BFD51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5EEA1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481FB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464BA71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2E9424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A1336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3DCF7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15FD5A2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F553DE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346AA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ECA18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33D86BA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377BCF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9A32A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968E2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17138</w:t>
            </w:r>
          </w:p>
        </w:tc>
      </w:tr>
      <w:tr w:rsidR="0028526E" w:rsidRPr="00C778A3" w14:paraId="7D3059F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0A788D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39746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33542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75CBD93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2F87E5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12FA1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11FAB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7FF8CAF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859805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9DE75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BFFA7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78E16E3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68EA1B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DE063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A0B8E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794D154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B4E5C6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83C5B4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87582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62835EC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D36011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D5718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6721B0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96171</w:t>
            </w:r>
          </w:p>
        </w:tc>
      </w:tr>
      <w:tr w:rsidR="0028526E" w:rsidRPr="00C778A3" w14:paraId="2AC94B2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4D757C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4F273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A02C1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9659</w:t>
            </w:r>
          </w:p>
        </w:tc>
      </w:tr>
      <w:tr w:rsidR="0028526E" w:rsidRPr="00C778A3" w14:paraId="6D7ED8C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754B8E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45AC4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3EE715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120562</w:t>
            </w:r>
          </w:p>
        </w:tc>
      </w:tr>
      <w:tr w:rsidR="0028526E" w:rsidRPr="00C778A3" w14:paraId="3CF774F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64EBFF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26CB1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49BD7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171521</w:t>
            </w:r>
          </w:p>
        </w:tc>
      </w:tr>
      <w:tr w:rsidR="0028526E" w:rsidRPr="00C778A3" w14:paraId="2EE2E43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C4E508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73A1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0026F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17714</w:t>
            </w:r>
          </w:p>
        </w:tc>
      </w:tr>
      <w:tr w:rsidR="0028526E" w:rsidRPr="00C778A3" w14:paraId="079C760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158C9D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445D7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7C1F9E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55506</w:t>
            </w:r>
          </w:p>
        </w:tc>
      </w:tr>
      <w:tr w:rsidR="0028526E" w:rsidRPr="00C778A3" w14:paraId="1A1E373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8678D2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9E0E7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9EDA0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6191</w:t>
            </w:r>
          </w:p>
        </w:tc>
      </w:tr>
      <w:tr w:rsidR="0028526E" w:rsidRPr="00C778A3" w14:paraId="15C694F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4395DE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D4126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D1D43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50679</w:t>
            </w:r>
          </w:p>
        </w:tc>
      </w:tr>
      <w:tr w:rsidR="0028526E" w:rsidRPr="00C778A3" w14:paraId="7C6C12E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E4D01B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B48E39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4EE9C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C778A3" w14:paraId="3B95C9A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91DC89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A503D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908D9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6191</w:t>
            </w:r>
          </w:p>
        </w:tc>
      </w:tr>
      <w:tr w:rsidR="0028526E" w:rsidRPr="00C778A3" w14:paraId="273BABD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C66E58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80A3F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201E6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50679</w:t>
            </w:r>
          </w:p>
        </w:tc>
      </w:tr>
      <w:tr w:rsidR="0028526E" w:rsidRPr="00C778A3" w14:paraId="465920A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73D11B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DE019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7.47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BF08CD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171508</w:t>
            </w:r>
          </w:p>
        </w:tc>
      </w:tr>
      <w:tr w:rsidR="0028526E" w:rsidRPr="00C778A3" w14:paraId="4FAD509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4457D4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magna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E30C5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12.76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5E3F4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171508</w:t>
            </w:r>
          </w:p>
        </w:tc>
      </w:tr>
      <w:tr w:rsidR="0028526E" w:rsidRPr="00C778A3" w14:paraId="6883AC2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6F8AE1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obtusa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3C1D1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341E8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20191</w:t>
            </w:r>
          </w:p>
        </w:tc>
      </w:tr>
      <w:tr w:rsidR="0028526E" w:rsidRPr="00C778A3" w14:paraId="54F0DE6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E6F69B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obtusa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36A73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BA6C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20191</w:t>
            </w:r>
          </w:p>
        </w:tc>
      </w:tr>
      <w:tr w:rsidR="0028526E" w:rsidRPr="00C778A3" w14:paraId="15E8CF0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790819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Daphnia pulex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C745F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D491C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1404446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F5B8D6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Diaphanosoma brachyurum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4B4E1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0.00565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FF239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4F083C6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C0C4E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Echinogammarus tibaldii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4EFFE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BC11E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18621</w:t>
            </w:r>
          </w:p>
        </w:tc>
      </w:tr>
      <w:tr w:rsidR="0028526E" w:rsidRPr="00C778A3" w14:paraId="49C2A1E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A02726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Eretes sticticus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EB55E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4B1DC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5182</w:t>
            </w:r>
          </w:p>
        </w:tc>
      </w:tr>
      <w:tr w:rsidR="0028526E" w:rsidRPr="00C778A3" w14:paraId="78C7E93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ACAEF3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Eretes sticticus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48F7C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57BBA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5182</w:t>
            </w:r>
          </w:p>
        </w:tc>
      </w:tr>
      <w:tr w:rsidR="0028526E" w:rsidRPr="00C778A3" w14:paraId="5049152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84B99A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fasciatus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51B8F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32934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C354C1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EBE98B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fasciatus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F5B33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E9462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242EB4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3B3F25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italicus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65602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26A2D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18621</w:t>
            </w:r>
          </w:p>
        </w:tc>
      </w:tr>
      <w:tr w:rsidR="0028526E" w:rsidRPr="00C778A3" w14:paraId="128766C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C49BBD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lacustris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B8234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2D9A5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26C667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F7FCD3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lacustris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EFC14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CD6404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3F4E3D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3A4B7E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30FC3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4923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A54AF7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4D4934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2205A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3F6D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11F2105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DDBE75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467AD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E2CD7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C453F4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E69FB4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DA921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22488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1B4DD0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9977A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8F70D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E8028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6523781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28FA73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0F9F4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E5D877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26D457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CC2CE5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71C99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FDA0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E17ED5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50DF1A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FC088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DF143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2B989B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6F89DC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CAF66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5C807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7E3A3F1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2E5BAC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Gammarus pseudolimnaeus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3C2B9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60B63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7FE6CCE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92D4D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Hemigrapsus oregonensis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FBBEE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D68CD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5F5C6D2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450ADB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Hemigrapsus oregonensis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2504A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300C8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13A7602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7D5600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Homarus americanus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D15F4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0.02089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41214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115741</w:t>
            </w:r>
          </w:p>
        </w:tc>
      </w:tr>
      <w:tr w:rsidR="0028526E" w:rsidRPr="00C778A3" w14:paraId="4A46763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1FFE6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Homarus americanus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6F672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0.02089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D5CDD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115741</w:t>
            </w:r>
          </w:p>
        </w:tc>
      </w:tr>
      <w:tr w:rsidR="0028526E" w:rsidRPr="00C778A3" w14:paraId="010A130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30FB6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Homarus americanus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29BB2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0.02313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FE3A2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115741</w:t>
            </w:r>
          </w:p>
        </w:tc>
      </w:tr>
      <w:tr w:rsidR="0028526E" w:rsidRPr="00C778A3" w14:paraId="6AFC5CB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A89E9F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Homarus americanus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E14F1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0.03873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A4311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115741</w:t>
            </w:r>
          </w:p>
        </w:tc>
      </w:tr>
      <w:tr w:rsidR="0028526E" w:rsidRPr="00C778A3" w14:paraId="17E747B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E7D505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7EEEB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97F03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3EAA97C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EB8351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D990D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97628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68BD39B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18D678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C8EB9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F0332B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6501540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E5B49E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2E7CB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72ED2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54104EF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F0250D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E4F57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A9C5A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110872B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0B2358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BBF65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E695A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0110066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26067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D3B6B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16358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77938BE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ED1B9F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D8F75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0.0152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951D5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4402C06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26B6CC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38969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F6BEC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44758ED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89BE1B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Hyalella azteca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2E3EE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0.0183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31256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52121</w:t>
            </w:r>
          </w:p>
        </w:tc>
      </w:tr>
      <w:tr w:rsidR="0028526E" w:rsidRPr="00C778A3" w14:paraId="0849662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CF538C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Hydropsyche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8F008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0.0594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133E4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171507</w:t>
            </w:r>
          </w:p>
        </w:tc>
      </w:tr>
      <w:tr w:rsidR="0028526E" w:rsidRPr="00C778A3" w14:paraId="45D8D53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E1257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66EF4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F6D86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86B6BB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77704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1A0A9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15E7D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CE4C54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10DC3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DD30C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A5135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6381132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F72181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13845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C826B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AAC994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9C91B4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29728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1A794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51801D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A80060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73922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8BAE60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7C2195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50BB11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96396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24905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0D2E685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C541B1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A0296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62464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CEEED7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8665A1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9B78A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0.0092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6F828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03747B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5192DF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057C5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77F784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8FCCC4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3C7093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B9D66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64041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7FFF37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53694C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Isogenus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F6FC0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2F489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6A04BBA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12AE6D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Lecane quadridentata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E6366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13.72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C0AEF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171514</w:t>
            </w:r>
          </w:p>
        </w:tc>
      </w:tr>
      <w:tr w:rsidR="0028526E" w:rsidRPr="00C778A3" w14:paraId="459E332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2A0D16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Lepidostoma unicolor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8E82C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0.01247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3B2F9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447929C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11C99C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44863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DDCFC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171510</w:t>
            </w:r>
          </w:p>
        </w:tc>
      </w:tr>
      <w:tr w:rsidR="0028526E" w:rsidRPr="00C778A3" w14:paraId="17D1F2D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743EC3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C9D3A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0.00197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0CA314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171510</w:t>
            </w:r>
          </w:p>
        </w:tc>
      </w:tr>
      <w:tr w:rsidR="0028526E" w:rsidRPr="00C778A3" w14:paraId="3CFFDA2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C5E382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9E5C9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0.001998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753982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81396</w:t>
            </w:r>
          </w:p>
        </w:tc>
      </w:tr>
      <w:tr w:rsidR="0028526E" w:rsidRPr="00C778A3" w14:paraId="4E0DF99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E61759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E9171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0.003605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28BE0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81396</w:t>
            </w:r>
          </w:p>
        </w:tc>
      </w:tr>
      <w:tr w:rsidR="0028526E" w:rsidRPr="00C778A3" w14:paraId="6885455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92DE05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0531F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0.00462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59C27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171510</w:t>
            </w:r>
          </w:p>
        </w:tc>
      </w:tr>
      <w:tr w:rsidR="0028526E" w:rsidRPr="00C778A3" w14:paraId="1C456A0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BC2D23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080C4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CC00B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171510</w:t>
            </w:r>
          </w:p>
        </w:tc>
      </w:tr>
      <w:tr w:rsidR="0028526E" w:rsidRPr="00C778A3" w14:paraId="1B87D53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E00F1F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50959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0.00664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88509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171510</w:t>
            </w:r>
          </w:p>
        </w:tc>
      </w:tr>
      <w:tr w:rsidR="0028526E" w:rsidRPr="00C778A3" w14:paraId="3425905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50B999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Leptodora kindtii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0F097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0EA35F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171510</w:t>
            </w:r>
          </w:p>
        </w:tc>
      </w:tr>
      <w:tr w:rsidR="0028526E" w:rsidRPr="00C778A3" w14:paraId="5A24923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01E146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Litopenaeus stylirostris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01490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5BB46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73317</w:t>
            </w:r>
          </w:p>
        </w:tc>
      </w:tr>
      <w:tr w:rsidR="0028526E" w:rsidRPr="00C778A3" w14:paraId="21043BC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809DD7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Lumbriculus variegatus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82BC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95E87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6502</w:t>
            </w:r>
          </w:p>
        </w:tc>
      </w:tr>
      <w:tr w:rsidR="0028526E" w:rsidRPr="00C778A3" w14:paraId="065CB7C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A76289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Lumbriculus variegatus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0121B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07868E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6502</w:t>
            </w:r>
          </w:p>
        </w:tc>
      </w:tr>
      <w:tr w:rsidR="0028526E" w:rsidRPr="00C778A3" w14:paraId="62057B5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E0291E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Macrobrachium lamarrei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A316A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A86A5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11541</w:t>
            </w:r>
          </w:p>
        </w:tc>
      </w:tr>
      <w:tr w:rsidR="0028526E" w:rsidRPr="00C778A3" w14:paraId="0A4C526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75A186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Macrobrachium lamarrei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6789D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2046E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11541</w:t>
            </w:r>
          </w:p>
        </w:tc>
      </w:tr>
      <w:tr w:rsidR="0028526E" w:rsidRPr="00C778A3" w14:paraId="54F6214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D00F38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Macrobrachium lamarrei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8B8D4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B7098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11541</w:t>
            </w:r>
          </w:p>
        </w:tc>
      </w:tr>
      <w:tr w:rsidR="0028526E" w:rsidRPr="00C778A3" w14:paraId="76EB529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1670CA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Macrobrachium lamarrei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5CA85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B4389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11541</w:t>
            </w:r>
          </w:p>
        </w:tc>
      </w:tr>
      <w:tr w:rsidR="0028526E" w:rsidRPr="00C778A3" w14:paraId="3182570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CCB657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Macrobrachium lar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01139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0.0283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E59AE5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157374</w:t>
            </w:r>
          </w:p>
        </w:tc>
      </w:tr>
      <w:tr w:rsidR="0028526E" w:rsidRPr="00C778A3" w14:paraId="437E5BF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051D1C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Macrobrachium lar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E9B38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0.0486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98519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157374</w:t>
            </w:r>
          </w:p>
        </w:tc>
      </w:tr>
      <w:tr w:rsidR="0028526E" w:rsidRPr="00C778A3" w14:paraId="7FA715E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19A7A8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Mesocyclops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5B738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1.715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6C87E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100488</w:t>
            </w:r>
          </w:p>
        </w:tc>
      </w:tr>
      <w:tr w:rsidR="0028526E" w:rsidRPr="00C778A3" w14:paraId="75A2399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800A02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Metapenaeus monoceros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0CD29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0.02487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F8675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17176</w:t>
            </w:r>
          </w:p>
        </w:tc>
      </w:tr>
      <w:tr w:rsidR="0028526E" w:rsidRPr="00C778A3" w14:paraId="06680B8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B87674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Metapenaeus monoceros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914B4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01F03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3724</w:t>
            </w:r>
          </w:p>
        </w:tc>
      </w:tr>
      <w:tr w:rsidR="0028526E" w:rsidRPr="00C778A3" w14:paraId="016E5E9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08FD6D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Moina macrocopa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32064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0.10321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F274AD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7EDC4C0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307E5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Moina micrura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6B5FC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746B6B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87649</w:t>
            </w:r>
          </w:p>
        </w:tc>
      </w:tr>
      <w:tr w:rsidR="0028526E" w:rsidRPr="00C778A3" w14:paraId="1CA45C8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45CA97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Monostyla quadridentata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DE11A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58CC5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16799</w:t>
            </w:r>
          </w:p>
        </w:tc>
      </w:tr>
      <w:tr w:rsidR="0028526E" w:rsidRPr="00C778A3" w14:paraId="7D93990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87DA97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Mysis relicta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DB039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2564A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200B7C0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263C35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Mysis relicta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49DA3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45424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55676F1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3A1C5D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Mysis relicta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30F81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AA82C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08A6113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C1CE58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Neotrypaea californiensis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9E134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57781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3FAFFAA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5EE901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Neotrypaea californiensis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1AB5E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C0EF7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601C5E1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D2ECE2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Neotrypaea californiensis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A6811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B2EC3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174D128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B531C2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Neotrypaea californiensis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6B148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CFF402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4CBE35A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2CC905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Notonecta undulata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CA6ED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0BE78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710E7F6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81E35F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Notonecta undulata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0A2CA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61267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6CD122E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43B2F5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Notonecta undulata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9520F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D1E41D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6579A34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E36036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Orconectes nais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2CE1C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DE6FF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</w:tr>
      <w:tr w:rsidR="0028526E" w:rsidRPr="00C778A3" w14:paraId="5C3A5A2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678D6B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Orconectes nais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D13B9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E7C9E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</w:tr>
      <w:tr w:rsidR="0028526E" w:rsidRPr="00C778A3" w14:paraId="384B368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5A211F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Orconectes nais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99061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8C029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</w:tr>
      <w:tr w:rsidR="0028526E" w:rsidRPr="00C778A3" w14:paraId="0BD94E6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878190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Orconectes nais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64498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64A34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</w:tr>
      <w:tr w:rsidR="0028526E" w:rsidRPr="00C778A3" w14:paraId="336B462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AA0F32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Orconectes virilis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9CC1B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7C032D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6CB1077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56E730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Orconectes virilis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3E890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1B12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19508</w:t>
            </w:r>
          </w:p>
        </w:tc>
      </w:tr>
      <w:tr w:rsidR="0028526E" w:rsidRPr="00C778A3" w14:paraId="32188FE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E77B751" w14:textId="61A3A3E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 xml:space="preserve">Orthetrum albistylum ssp. </w:t>
            </w:r>
            <w:r w:rsidR="004507BE" w:rsidRPr="00C778A3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778A3">
              <w:rPr>
                <w:rFonts w:ascii="Calibri" w:eastAsia="Times New Roman" w:hAnsi="Calibri" w:cs="Times New Roman"/>
                <w:color w:val="000000"/>
              </w:rPr>
              <w:t>peciosum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C0980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495638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7119</w:t>
            </w:r>
          </w:p>
        </w:tc>
      </w:tr>
      <w:tr w:rsidR="0028526E" w:rsidRPr="00C778A3" w14:paraId="6F0B283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3558AE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Orthetrum albistylum ssp. speciosum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BE8EA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0740C5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7119</w:t>
            </w:r>
          </w:p>
        </w:tc>
      </w:tr>
      <w:tr w:rsidR="0028526E" w:rsidRPr="00C778A3" w14:paraId="1ED5422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A13D84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Orthetrum albistylum ssp. speciosum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5CB1C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D1BCEB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7119</w:t>
            </w:r>
          </w:p>
        </w:tc>
      </w:tr>
      <w:tr w:rsidR="0028526E" w:rsidRPr="00C778A3" w14:paraId="7037791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656C00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Orthetrum albistylum ssp. speciosum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12D1A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018AD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7119</w:t>
            </w:r>
          </w:p>
        </w:tc>
      </w:tr>
      <w:tr w:rsidR="0028526E" w:rsidRPr="00C778A3" w14:paraId="6F6AEAF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2C9F2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Orthetrum albistylum ssp. speciosum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E1649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DBF5A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7119</w:t>
            </w:r>
          </w:p>
        </w:tc>
      </w:tr>
      <w:tr w:rsidR="0028526E" w:rsidRPr="00C778A3" w14:paraId="62E87DC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3C5F37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Orthetrum albistylum ssp. speciosum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19999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26C1E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7119</w:t>
            </w:r>
          </w:p>
        </w:tc>
      </w:tr>
      <w:tr w:rsidR="0028526E" w:rsidRPr="00C778A3" w14:paraId="2004B46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2EE9A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kadiakensis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C59C4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E08507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8D238C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F88FFD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kadiakensis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CCF9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39C28B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AA2892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3D8739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pugio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D7777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0FFE7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6B56FDF6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87385A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pugio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DBB0F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209DE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6B25AE9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359AC0D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pugio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22A0E9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7DB21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0B88FA8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FA6A97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pugio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C054C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0.04302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82587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112130</w:t>
            </w:r>
          </w:p>
        </w:tc>
      </w:tr>
      <w:tr w:rsidR="0028526E" w:rsidRPr="00C778A3" w14:paraId="7946237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1005F2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Palaemonetes pugio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4ECE3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84990D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115739</w:t>
            </w:r>
          </w:p>
        </w:tc>
      </w:tr>
      <w:tr w:rsidR="0028526E" w:rsidRPr="00C778A3" w14:paraId="4375018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2CAFE7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Paramecium aurelia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90251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EAEC3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11588</w:t>
            </w:r>
          </w:p>
        </w:tc>
      </w:tr>
      <w:tr w:rsidR="0028526E" w:rsidRPr="00C778A3" w14:paraId="1272CA2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AC8621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Paramecium bursaria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467380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6DE8A7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11588</w:t>
            </w:r>
          </w:p>
        </w:tc>
      </w:tr>
      <w:tr w:rsidR="0028526E" w:rsidRPr="00C778A3" w14:paraId="5BA1D67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8C2FD1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Paramecium caudatum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B74F01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02A8E4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11588</w:t>
            </w:r>
          </w:p>
        </w:tc>
      </w:tr>
      <w:tr w:rsidR="0028526E" w:rsidRPr="00C778A3" w14:paraId="0486DB5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AACAF4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Paramecium multimicronucleatum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CD04C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3DBCF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11588</w:t>
            </w:r>
          </w:p>
        </w:tc>
      </w:tr>
      <w:tr w:rsidR="0028526E" w:rsidRPr="00C778A3" w14:paraId="57B8AFA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999EB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Paratya australiensis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6B24A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D6A07C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121117</w:t>
            </w:r>
          </w:p>
        </w:tc>
      </w:tr>
      <w:tr w:rsidR="0028526E" w:rsidRPr="00C778A3" w14:paraId="1907F45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337CED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Peltodytes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07163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ED70A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1C127E8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13470B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Peltodytes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D4D32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6B6561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1757ADD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C8D2C1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Peltodytes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E1D59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CBA3C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526A189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9B3E33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Peltodytes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1FDED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B3AFB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7775</w:t>
            </w:r>
          </w:p>
        </w:tc>
      </w:tr>
      <w:tr w:rsidR="0028526E" w:rsidRPr="00C778A3" w14:paraId="6DBE6FE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B3E296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Penaeus aztecus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AC7386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CA7A3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3947</w:t>
            </w:r>
          </w:p>
        </w:tc>
      </w:tr>
      <w:tr w:rsidR="0028526E" w:rsidRPr="00C778A3" w14:paraId="255DEB6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DD8FE4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Pontoporeia hoyi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9F337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86685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459699E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F1DD7A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Pontoporeia hoyi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E6920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7C31F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25245E9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D9A97A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Pontoporeia hoyi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B86A4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D2481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7827DF1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F4E991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Pontoporeia hoyi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5391A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06564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18931</w:t>
            </w:r>
          </w:p>
        </w:tc>
      </w:tr>
      <w:tr w:rsidR="0028526E" w:rsidRPr="00C778A3" w14:paraId="4D8E2EE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CA76422" w14:textId="6B44E2A1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 xml:space="preserve">Procambarus </w:t>
            </w:r>
            <w:r w:rsidR="00D82C0B">
              <w:rPr>
                <w:rFonts w:ascii="Calibri" w:eastAsia="Times New Roman" w:hAnsi="Calibri" w:cs="Times New Roman"/>
                <w:color w:val="000000"/>
              </w:rPr>
              <w:t>clarkia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B924E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5CA50E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4678</w:t>
            </w:r>
          </w:p>
        </w:tc>
      </w:tr>
      <w:tr w:rsidR="0028526E" w:rsidRPr="00C778A3" w14:paraId="1E6A6E7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62A9C88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Procambarus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7ECBD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5FE1E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94E1927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41C249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Procambarus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6B3B30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E70F9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173DED0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427CC5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Psychoglypha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D6803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0.013029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01A5A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2BF6141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DBB508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Psychoglypha sp.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0D383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0.02623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32626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62451</w:t>
            </w:r>
          </w:p>
        </w:tc>
      </w:tr>
      <w:tr w:rsidR="0028526E" w:rsidRPr="00C778A3" w14:paraId="0D66EA2B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A6E585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3F666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48801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17F9A51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032381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9F3E6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2999A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34846F0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F4041DE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2BD6E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E08CC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B099FF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7A3374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8B93C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B1FB7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012C185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4B5B85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02B00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286EB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591BF6A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3AF258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3FE7B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AA236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1C15B77E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0D1A01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lastRenderedPageBreak/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F8244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E952E1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80774A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82D2AC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Pteronarcella badia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CECB2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53FC6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1953618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112239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Pteronarcys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EB852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0.0048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5F552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72B2B64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ED0A0F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Pteronarcys californica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BC6E1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D9197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055BA74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D07D002" w14:textId="6EED7D39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 xml:space="preserve">Ranatra </w:t>
            </w:r>
            <w:r w:rsidR="004507BE">
              <w:rPr>
                <w:rFonts w:ascii="Calibri" w:eastAsia="Times New Roman" w:hAnsi="Calibri" w:cs="Times New Roman"/>
                <w:color w:val="000000"/>
              </w:rPr>
              <w:t>elongate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C3AD46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DB3A6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4596</w:t>
            </w:r>
          </w:p>
        </w:tc>
      </w:tr>
      <w:tr w:rsidR="0028526E" w:rsidRPr="00C778A3" w14:paraId="318D994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82D3B4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Scapholeberis kingi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48605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0.11476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A40CD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5DBA02C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03D23EA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Simocephalus serrulatus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977E8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DEF06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0B19DB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4085D5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Simocephalus serrulatus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FF18110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0.0081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F10DF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25D4E5F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8FB446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Simocephalus serrulatus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7CDB1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EEFFB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6797</w:t>
            </w:r>
          </w:p>
        </w:tc>
      </w:tr>
      <w:tr w:rsidR="0028526E" w:rsidRPr="00C778A3" w14:paraId="4474C95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3866648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Simocephalus vetulus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0EC22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0.01424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F3C397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154905</w:t>
            </w:r>
          </w:p>
        </w:tc>
      </w:tr>
      <w:tr w:rsidR="0028526E" w:rsidRPr="00C778A3" w14:paraId="09DD9ED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F5D036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Simulium vittatum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59008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0.02372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76210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71060</w:t>
            </w:r>
          </w:p>
        </w:tc>
      </w:tr>
      <w:tr w:rsidR="0028526E" w:rsidRPr="00C778A3" w14:paraId="1155991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622CE9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Simulium vittatum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5CF4D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0.04776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2A92F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152234</w:t>
            </w:r>
          </w:p>
        </w:tc>
      </w:tr>
      <w:tr w:rsidR="0028526E" w:rsidRPr="00C778A3" w14:paraId="317A1C0C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BDE4B5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Spicodiaptomus chelospinus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FD0F7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4801C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5264</w:t>
            </w:r>
          </w:p>
        </w:tc>
      </w:tr>
      <w:tr w:rsidR="0028526E" w:rsidRPr="00C778A3" w14:paraId="1B401E6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492B48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Spicodiaptomus chelospinus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24736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6C713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5264</w:t>
            </w:r>
          </w:p>
        </w:tc>
      </w:tr>
      <w:tr w:rsidR="0028526E" w:rsidRPr="00C778A3" w14:paraId="27BA8269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5DA2916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Spirostomum ambiguum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66ED2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A5124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69821</w:t>
            </w:r>
          </w:p>
        </w:tc>
      </w:tr>
      <w:tr w:rsidR="0028526E" w:rsidRPr="00C778A3" w14:paraId="3C3FE9E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3929C97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Spirostomum teres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22B37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4BE93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20057</w:t>
            </w:r>
          </w:p>
        </w:tc>
      </w:tr>
      <w:tr w:rsidR="0028526E" w:rsidRPr="00C778A3" w14:paraId="493C1CA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AFC4E5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Tubifex tubifex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55D47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C3CA7E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17386</w:t>
            </w:r>
          </w:p>
        </w:tc>
      </w:tr>
      <w:tr w:rsidR="0028526E" w:rsidRPr="00C778A3" w14:paraId="7E47B71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2238364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Uca minax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74559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503650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</w:tr>
      <w:tr w:rsidR="0028526E" w:rsidRPr="00C778A3" w14:paraId="35F99AAF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0474592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Uca minax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44BAA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B9262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</w:tr>
      <w:tr w:rsidR="0028526E" w:rsidRPr="00C778A3" w14:paraId="7C721DB1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3AFF05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Uca minax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A4C98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FD3D3D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</w:tr>
      <w:tr w:rsidR="0028526E" w:rsidRPr="00C778A3" w14:paraId="756A3FF3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0E9F9A0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Upogebia pugettensis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B1A3F5F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FE0DF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186E4745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824463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Upogebia pugettensis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A6660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A5D1CB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3F1A7748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9B0D28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Upogebia pugettensis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8A0C57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084A6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1C08492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755ECB4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Upogebia pugettensis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A9B05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DE1CE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C778A3" w14:paraId="4354C574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04EA1DBB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833EE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0.1566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106DE5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171567</w:t>
            </w:r>
          </w:p>
        </w:tc>
      </w:tr>
      <w:tr w:rsidR="0028526E" w:rsidRPr="00C778A3" w14:paraId="76578D3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627D61F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4E3B1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0.3818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3D439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171567</w:t>
            </w:r>
          </w:p>
        </w:tc>
      </w:tr>
      <w:tr w:rsidR="0028526E" w:rsidRPr="00C778A3" w14:paraId="27B44582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17D247A3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12F009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0.4377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8F6F78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171567</w:t>
            </w:r>
          </w:p>
        </w:tc>
      </w:tr>
      <w:tr w:rsidR="0028526E" w:rsidRPr="00C778A3" w14:paraId="3FD4657D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49DB49D1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ABBC9A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6F4C71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67674</w:t>
            </w:r>
          </w:p>
        </w:tc>
      </w:tr>
      <w:tr w:rsidR="0028526E" w:rsidRPr="00C778A3" w14:paraId="54D923C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2464F77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636703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73D5AC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171567</w:t>
            </w:r>
          </w:p>
        </w:tc>
      </w:tr>
      <w:tr w:rsidR="0028526E" w:rsidRPr="00C778A3" w14:paraId="3D36167A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293EE369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A7039D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E42A16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171567</w:t>
            </w:r>
          </w:p>
        </w:tc>
      </w:tr>
      <w:tr w:rsidR="0028526E" w:rsidRPr="00C778A3" w14:paraId="7F1B1110" w14:textId="77777777" w:rsidTr="000151CF">
        <w:trPr>
          <w:trHeight w:val="300"/>
        </w:trPr>
        <w:tc>
          <w:tcPr>
            <w:tcW w:w="3357" w:type="dxa"/>
            <w:shd w:val="clear" w:color="auto" w:fill="auto"/>
            <w:noWrap/>
            <w:vAlign w:val="bottom"/>
            <w:hideMark/>
          </w:tcPr>
          <w:p w14:paraId="5F09130C" w14:textId="77777777" w:rsidR="0028526E" w:rsidRPr="00C778A3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Xanthocnemis zealandica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2C8D32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31AF34" w14:textId="77777777" w:rsidR="0028526E" w:rsidRPr="00C778A3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778A3">
              <w:rPr>
                <w:rFonts w:ascii="Calibri" w:eastAsia="Times New Roman" w:hAnsi="Calibri" w:cs="Times New Roman"/>
                <w:color w:val="000000"/>
              </w:rPr>
              <w:t>171567</w:t>
            </w:r>
          </w:p>
        </w:tc>
      </w:tr>
    </w:tbl>
    <w:p w14:paraId="4C6A9556" w14:textId="77777777" w:rsidR="0028526E" w:rsidRDefault="0028526E" w:rsidP="0028526E">
      <w:pPr>
        <w:rPr>
          <w:b/>
        </w:rPr>
      </w:pPr>
    </w:p>
    <w:p w14:paraId="2294815E" w14:textId="737E0A0F" w:rsidR="0028526E" w:rsidRDefault="009D73BC" w:rsidP="000151CF">
      <w:pPr>
        <w:spacing w:after="0" w:line="240" w:lineRule="auto"/>
      </w:pPr>
      <w:r w:rsidRPr="00931CF0">
        <w:rPr>
          <w:rFonts w:ascii="Calibri" w:hAnsi="Calibri"/>
          <w:b/>
        </w:rPr>
        <w:t xml:space="preserve">Table </w:t>
      </w:r>
      <w:r w:rsidR="0003420C">
        <w:rPr>
          <w:rFonts w:ascii="Calibri" w:hAnsi="Calibri"/>
          <w:b/>
        </w:rPr>
        <w:t>8</w:t>
      </w:r>
      <w:r w:rsidRPr="00931CF0">
        <w:rPr>
          <w:rFonts w:ascii="Calibri" w:hAnsi="Calibri"/>
        </w:rPr>
        <w:t xml:space="preserve"> provides all of the available EC/LC</w:t>
      </w:r>
      <w:r w:rsidRPr="00931CF0">
        <w:rPr>
          <w:rFonts w:ascii="Calibri" w:hAnsi="Calibri"/>
          <w:vertAlign w:val="subscript"/>
        </w:rPr>
        <w:t>50</w:t>
      </w:r>
      <w:r w:rsidRPr="00931CF0">
        <w:rPr>
          <w:rFonts w:ascii="Calibri" w:hAnsi="Calibri"/>
        </w:rPr>
        <w:t xml:space="preserve"> values (based on immobility and mortality) for </w:t>
      </w:r>
      <w:r>
        <w:rPr>
          <w:rFonts w:ascii="Calibri" w:hAnsi="Calibri"/>
        </w:rPr>
        <w:t xml:space="preserve">mollusk </w:t>
      </w:r>
      <w:r w:rsidRPr="00931CF0">
        <w:rPr>
          <w:rFonts w:ascii="Calibri" w:hAnsi="Calibri"/>
        </w:rPr>
        <w:t>aquatic invertebrates (within the 24</w:t>
      </w:r>
      <w:r>
        <w:rPr>
          <w:rFonts w:ascii="Calibri" w:hAnsi="Calibri"/>
        </w:rPr>
        <w:t>-</w:t>
      </w:r>
      <w:r w:rsidRPr="00931CF0">
        <w:rPr>
          <w:rFonts w:ascii="Calibri" w:hAnsi="Calibri"/>
        </w:rPr>
        <w:t xml:space="preserve"> or 48</w:t>
      </w:r>
      <w:r>
        <w:rPr>
          <w:rFonts w:ascii="Calibri" w:hAnsi="Calibri"/>
        </w:rPr>
        <w:t xml:space="preserve">-hour timeframe </w:t>
      </w:r>
      <w:r w:rsidRPr="00931CF0">
        <w:rPr>
          <w:rFonts w:ascii="Calibri" w:hAnsi="Calibri"/>
        </w:rPr>
        <w:t xml:space="preserve">unless otherwise noted).  These data sets are the same as reported in the effects characterization. </w:t>
      </w:r>
      <w:r w:rsidR="0028526E" w:rsidRPr="00D33B1C">
        <w:t xml:space="preserve">The dataset contained </w:t>
      </w:r>
      <w:r w:rsidR="0028526E">
        <w:t>15</w:t>
      </w:r>
      <w:r w:rsidR="0028526E" w:rsidRPr="00D33B1C">
        <w:t xml:space="preserve"> species.</w:t>
      </w:r>
    </w:p>
    <w:p w14:paraId="655D0E75" w14:textId="77777777" w:rsidR="000151CF" w:rsidRPr="002D5A60" w:rsidRDefault="000151CF" w:rsidP="000151CF">
      <w:pPr>
        <w:spacing w:after="0" w:line="240" w:lineRule="auto"/>
        <w:rPr>
          <w:rFonts w:ascii="Calibri" w:hAnsi="Calibri"/>
        </w:rPr>
      </w:pPr>
    </w:p>
    <w:p w14:paraId="3633C4BF" w14:textId="19E56D05" w:rsidR="0028526E" w:rsidRPr="00D33B1C" w:rsidRDefault="0028526E" w:rsidP="000151CF">
      <w:pPr>
        <w:spacing w:after="0" w:line="240" w:lineRule="auto"/>
        <w:rPr>
          <w:b/>
        </w:rPr>
      </w:pPr>
      <w:r w:rsidRPr="00D33B1C">
        <w:rPr>
          <w:b/>
        </w:rPr>
        <w:t xml:space="preserve">Table </w:t>
      </w:r>
      <w:r w:rsidR="0003420C">
        <w:rPr>
          <w:b/>
        </w:rPr>
        <w:t>8</w:t>
      </w:r>
      <w:r w:rsidRPr="00D33B1C">
        <w:rPr>
          <w:b/>
        </w:rPr>
        <w:t xml:space="preserve">. Distribution of test results available for </w:t>
      </w:r>
      <w:r w:rsidR="003D5E46">
        <w:rPr>
          <w:b/>
        </w:rPr>
        <w:t>c</w:t>
      </w:r>
      <w:r w:rsidRPr="00D33B1C">
        <w:rPr>
          <w:b/>
        </w:rPr>
        <w:t xml:space="preserve">arbaryl for </w:t>
      </w:r>
      <w:r w:rsidR="003D5E46">
        <w:rPr>
          <w:b/>
        </w:rPr>
        <w:t>m</w:t>
      </w:r>
      <w:r w:rsidRPr="00D33B1C">
        <w:rPr>
          <w:b/>
        </w:rPr>
        <w:t>ollusks</w:t>
      </w:r>
      <w:r w:rsidR="003D5E46">
        <w:rPr>
          <w:b/>
        </w:rPr>
        <w:t>.</w:t>
      </w:r>
    </w:p>
    <w:tbl>
      <w:tblPr>
        <w:tblW w:w="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1463"/>
        <w:gridCol w:w="1141"/>
      </w:tblGrid>
      <w:tr w:rsidR="0028526E" w:rsidRPr="00D33B1C" w14:paraId="351EC988" w14:textId="77777777" w:rsidTr="000151CF">
        <w:trPr>
          <w:trHeight w:val="300"/>
          <w:tblHeader/>
        </w:trPr>
        <w:tc>
          <w:tcPr>
            <w:tcW w:w="2312" w:type="dxa"/>
            <w:shd w:val="clear" w:color="auto" w:fill="E7E6E6" w:themeFill="background2"/>
            <w:noWrap/>
            <w:vAlign w:val="bottom"/>
            <w:hideMark/>
          </w:tcPr>
          <w:p w14:paraId="7B0FA5CE" w14:textId="77777777" w:rsidR="0028526E" w:rsidRPr="002D5A60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Species</w:t>
            </w:r>
          </w:p>
        </w:tc>
        <w:tc>
          <w:tcPr>
            <w:tcW w:w="1463" w:type="dxa"/>
            <w:shd w:val="clear" w:color="auto" w:fill="E7E6E6" w:themeFill="background2"/>
            <w:noWrap/>
            <w:vAlign w:val="bottom"/>
            <w:hideMark/>
          </w:tcPr>
          <w:p w14:paraId="2258C88C" w14:textId="77777777" w:rsidR="0028526E" w:rsidRPr="002D5A60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Acute LC</w:t>
            </w:r>
            <w:r w:rsidRPr="002D5A60"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 xml:space="preserve">50 </w:t>
            </w: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value (mg/L)</w:t>
            </w:r>
          </w:p>
        </w:tc>
        <w:tc>
          <w:tcPr>
            <w:tcW w:w="638" w:type="dxa"/>
            <w:shd w:val="clear" w:color="auto" w:fill="E7E6E6" w:themeFill="background2"/>
            <w:noWrap/>
            <w:vAlign w:val="bottom"/>
            <w:hideMark/>
          </w:tcPr>
          <w:p w14:paraId="43126E50" w14:textId="77777777" w:rsidR="0028526E" w:rsidRPr="002D5A60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D5A60">
              <w:rPr>
                <w:rFonts w:ascii="Calibri" w:eastAsia="Times New Roman" w:hAnsi="Calibri" w:cs="Times New Roman"/>
                <w:b/>
                <w:color w:val="000000"/>
              </w:rPr>
              <w:t>Reference</w:t>
            </w:r>
          </w:p>
        </w:tc>
      </w:tr>
      <w:tr w:rsidR="0028526E" w:rsidRPr="00D33B1C" w14:paraId="7104ACAE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79263168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Anodonta imbecillis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9425C2A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23.7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D69AF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50679</w:t>
            </w:r>
          </w:p>
        </w:tc>
      </w:tr>
      <w:tr w:rsidR="0028526E" w:rsidRPr="00D33B1C" w14:paraId="2E8D8EB1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B618812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lastRenderedPageBreak/>
              <w:t>Anodonta imbecillis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7ADF3E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73BFA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50679</w:t>
            </w:r>
          </w:p>
        </w:tc>
      </w:tr>
      <w:tr w:rsidR="0028526E" w:rsidRPr="00D33B1C" w14:paraId="659384FE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07A7E85B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Anodonta imbecillis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F89AC8C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30.1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AD4741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50679</w:t>
            </w:r>
          </w:p>
        </w:tc>
      </w:tr>
      <w:tr w:rsidR="0028526E" w:rsidRPr="00D33B1C" w14:paraId="32683082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761F231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Bellamya bengalensis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3952D8C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013556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4953</w:t>
            </w:r>
          </w:p>
        </w:tc>
      </w:tr>
      <w:tr w:rsidR="0028526E" w:rsidRPr="00D33B1C" w14:paraId="506B602D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219C643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Bellamya bengalensis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1D7ECC8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9.02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A37279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4953</w:t>
            </w:r>
          </w:p>
        </w:tc>
      </w:tr>
      <w:tr w:rsidR="0028526E" w:rsidRPr="00D33B1C" w14:paraId="4C586592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42557E7B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Bellamya bengalensis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4E2103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961960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4953</w:t>
            </w:r>
          </w:p>
        </w:tc>
      </w:tr>
      <w:tr w:rsidR="0028526E" w:rsidRPr="00D33B1C" w14:paraId="143456A1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763D68E1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Bellamya bengalensis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CED6D96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91D20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4953</w:t>
            </w:r>
          </w:p>
        </w:tc>
      </w:tr>
      <w:tr w:rsidR="0028526E" w:rsidRPr="00D33B1C" w14:paraId="511DF6C0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6EC1569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Biomphalaria alexandrina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9FE3C75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6209C7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6332</w:t>
            </w:r>
          </w:p>
        </w:tc>
      </w:tr>
      <w:tr w:rsidR="0028526E" w:rsidRPr="00D33B1C" w14:paraId="3C29F222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05900D54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25C005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870079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17741</w:t>
            </w:r>
          </w:p>
        </w:tc>
      </w:tr>
      <w:tr w:rsidR="0028526E" w:rsidRPr="00D33B1C" w14:paraId="3FE19BE5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03ADA78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CDBF872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3.08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D718DC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171590</w:t>
            </w:r>
          </w:p>
        </w:tc>
      </w:tr>
      <w:tr w:rsidR="0028526E" w:rsidRPr="00D33B1C" w14:paraId="2F1B2366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4D26704A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6AEA764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587F5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17741</w:t>
            </w:r>
          </w:p>
        </w:tc>
      </w:tr>
      <w:tr w:rsidR="0028526E" w:rsidRPr="00D33B1C" w14:paraId="3BCAD80F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F29C943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11AD493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59DEF3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171590</w:t>
            </w:r>
          </w:p>
        </w:tc>
      </w:tr>
      <w:tr w:rsidR="0028526E" w:rsidRPr="00D33B1C" w14:paraId="7A84C342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FCF91BC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916D4C8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EDBD52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4825</w:t>
            </w:r>
          </w:p>
        </w:tc>
      </w:tr>
      <w:tr w:rsidR="0028526E" w:rsidRPr="00D33B1C" w14:paraId="437165E8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243BE53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0BE96008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15B946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17741</w:t>
            </w:r>
          </w:p>
        </w:tc>
      </w:tr>
      <w:tr w:rsidR="0028526E" w:rsidRPr="00D33B1C" w14:paraId="40EBB8FA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705F46F3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231D809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397935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17741</w:t>
            </w:r>
          </w:p>
        </w:tc>
      </w:tr>
      <w:tr w:rsidR="0028526E" w:rsidRPr="00D33B1C" w14:paraId="5465DE3C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E2416AE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986CC1B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50F8C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171590</w:t>
            </w:r>
          </w:p>
        </w:tc>
      </w:tr>
      <w:tr w:rsidR="0028526E" w:rsidRPr="00D33B1C" w14:paraId="10B28929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30B971D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Clinocardium nuttallii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EB112EB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2FA3F9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171590</w:t>
            </w:r>
          </w:p>
        </w:tc>
      </w:tr>
      <w:tr w:rsidR="0028526E" w:rsidRPr="00D33B1C" w14:paraId="40273241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C44AD8E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Corbicula sp.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1C2FB3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2D97DA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18189</w:t>
            </w:r>
          </w:p>
        </w:tc>
      </w:tr>
      <w:tr w:rsidR="0028526E" w:rsidRPr="00D33B1C" w14:paraId="63DB4E96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ABFB9F6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Corbicula sp.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84DDDB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40B7E4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18189</w:t>
            </w:r>
          </w:p>
        </w:tc>
      </w:tr>
      <w:tr w:rsidR="0028526E" w:rsidRPr="00D33B1C" w14:paraId="54440B5A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F62C980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Corbicula sp.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BD91AC0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49.2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E41D48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18189</w:t>
            </w:r>
          </w:p>
        </w:tc>
      </w:tr>
      <w:tr w:rsidR="0028526E" w:rsidRPr="00D33B1C" w14:paraId="415DE747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1745E60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Corbicula sp.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8556B2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67.01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FFDA989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18189</w:t>
            </w:r>
          </w:p>
        </w:tc>
      </w:tr>
      <w:tr w:rsidR="0028526E" w:rsidRPr="00D33B1C" w14:paraId="47875538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4A7E6808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Lampsilis cardium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E69E18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FEFEF1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D33B1C" w14:paraId="6D0880E1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DDD0DF3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Lampsilis siliquoidea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46CFD7E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4598ED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D33B1C" w14:paraId="76672AB5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7A452E32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Leptodea fragilis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B0A3B1C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9.1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8A8041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D33B1C" w14:paraId="632F9FFE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EDE4D93" w14:textId="56237C4D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 xml:space="preserve">Ligumia </w:t>
            </w:r>
            <w:r w:rsidR="00D82C0B">
              <w:rPr>
                <w:rFonts w:ascii="Calibri" w:eastAsia="Times New Roman" w:hAnsi="Calibri" w:cs="Times New Roman"/>
                <w:color w:val="000000"/>
              </w:rPr>
              <w:t>subrostrate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152E8ED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43.1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4BEB4EC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D33B1C" w14:paraId="4CBC197B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519C072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Lymnaea acuminata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7F8A1D7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65996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7AC399F1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72A5B93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Lymnaea acuminata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F07F2B6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F727ED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6AF50D49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3CF5B381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Lymnaea acuminata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8F42691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786631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3BFFBB68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60B9F28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Megalonaias nervosa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6E5A244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27.4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8ED14A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  <w:tr w:rsidR="0028526E" w:rsidRPr="00D33B1C" w14:paraId="5CBD6F2A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CC54F1C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Mytilus edulis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1878DD36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CB13A4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8127</w:t>
            </w:r>
          </w:p>
        </w:tc>
      </w:tr>
      <w:tr w:rsidR="0028526E" w:rsidRPr="00D33B1C" w14:paraId="0D099DCA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6A5E905F" w14:textId="36255ADC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 xml:space="preserve">Pila </w:t>
            </w:r>
            <w:r w:rsidR="004507BE">
              <w:rPr>
                <w:rFonts w:ascii="Calibri" w:eastAsia="Times New Roman" w:hAnsi="Calibri" w:cs="Times New Roman"/>
                <w:color w:val="000000"/>
              </w:rPr>
              <w:t>globose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8D57EDA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705214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4816998B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44F6FDAA" w14:textId="5A87CE63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 xml:space="preserve">Pila </w:t>
            </w:r>
            <w:r w:rsidR="004507BE">
              <w:rPr>
                <w:rFonts w:ascii="Calibri" w:eastAsia="Times New Roman" w:hAnsi="Calibri" w:cs="Times New Roman"/>
                <w:color w:val="000000"/>
              </w:rPr>
              <w:t>globose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26E2DD6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E144BB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7A5864C1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60D3AA5" w14:textId="00F3475B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 xml:space="preserve">Pila </w:t>
            </w:r>
            <w:r w:rsidR="004507BE">
              <w:rPr>
                <w:rFonts w:ascii="Calibri" w:eastAsia="Times New Roman" w:hAnsi="Calibri" w:cs="Times New Roman"/>
                <w:color w:val="000000"/>
              </w:rPr>
              <w:t>globose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48F9AEA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36EE14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6CFA4C45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2C1E4B1B" w14:textId="53935E0B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 xml:space="preserve">Pila </w:t>
            </w:r>
            <w:r w:rsidR="004507BE">
              <w:rPr>
                <w:rFonts w:ascii="Calibri" w:eastAsia="Times New Roman" w:hAnsi="Calibri" w:cs="Times New Roman"/>
                <w:color w:val="000000"/>
              </w:rPr>
              <w:t>globose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134228D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1E4998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</w:tr>
      <w:tr w:rsidR="0028526E" w:rsidRPr="00D33B1C" w14:paraId="23AA7849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94CDD2A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Pomacea patula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4CD75E3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14.6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30794F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52354</w:t>
            </w:r>
          </w:p>
        </w:tc>
      </w:tr>
      <w:tr w:rsidR="0028526E" w:rsidRPr="00D33B1C" w14:paraId="2A03D77D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5DD53EEA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Utterbackia imbecillis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8DB9243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870CD2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74236</w:t>
            </w:r>
          </w:p>
        </w:tc>
      </w:tr>
      <w:tr w:rsidR="0028526E" w:rsidRPr="00D33B1C" w14:paraId="23273245" w14:textId="77777777" w:rsidTr="000151CF">
        <w:trPr>
          <w:trHeight w:val="300"/>
        </w:trPr>
        <w:tc>
          <w:tcPr>
            <w:tcW w:w="2312" w:type="dxa"/>
            <w:shd w:val="clear" w:color="auto" w:fill="auto"/>
            <w:noWrap/>
            <w:vAlign w:val="bottom"/>
            <w:hideMark/>
          </w:tcPr>
          <w:p w14:paraId="706EB258" w14:textId="77777777" w:rsidR="0028526E" w:rsidRPr="00D33B1C" w:rsidRDefault="0028526E" w:rsidP="00EA6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Utterbackia imbecillis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61BCD54D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40.2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44FC437" w14:textId="77777777" w:rsidR="0028526E" w:rsidRPr="00D33B1C" w:rsidRDefault="0028526E" w:rsidP="00EA6C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3B1C">
              <w:rPr>
                <w:rFonts w:ascii="Calibri" w:eastAsia="Times New Roman" w:hAnsi="Calibri" w:cs="Times New Roman"/>
                <w:color w:val="000000"/>
              </w:rPr>
              <w:t>81810</w:t>
            </w:r>
          </w:p>
        </w:tc>
      </w:tr>
    </w:tbl>
    <w:p w14:paraId="1EB96E6C" w14:textId="77777777" w:rsidR="00F215A4" w:rsidRPr="0008448B" w:rsidRDefault="00F215A4" w:rsidP="00F215A4"/>
    <w:p w14:paraId="4ACDDD0F" w14:textId="77777777" w:rsidR="00F215A4" w:rsidRPr="0008448B" w:rsidRDefault="00F215A4" w:rsidP="00F215A4">
      <w:pPr>
        <w:rPr>
          <w:b/>
        </w:rPr>
      </w:pPr>
    </w:p>
    <w:sectPr w:rsidR="00F215A4" w:rsidRPr="0008448B" w:rsidSect="00BB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F29E" w14:textId="77777777" w:rsidR="00FF2DBF" w:rsidRDefault="00FF2DBF" w:rsidP="001C2F67">
      <w:pPr>
        <w:spacing w:after="0" w:line="240" w:lineRule="auto"/>
      </w:pPr>
      <w:r>
        <w:separator/>
      </w:r>
    </w:p>
  </w:endnote>
  <w:endnote w:type="continuationSeparator" w:id="0">
    <w:p w14:paraId="3DCED42A" w14:textId="77777777" w:rsidR="00FF2DBF" w:rsidRDefault="00FF2DBF" w:rsidP="001C2F67">
      <w:pPr>
        <w:spacing w:after="0" w:line="240" w:lineRule="auto"/>
      </w:pPr>
      <w:r>
        <w:continuationSeparator/>
      </w:r>
    </w:p>
  </w:endnote>
  <w:endnote w:type="continuationNotice" w:id="1">
    <w:p w14:paraId="2ADF1E9F" w14:textId="77777777" w:rsidR="00FF2DBF" w:rsidRDefault="00FF2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C8FA" w14:textId="77777777" w:rsidR="002E1DCA" w:rsidRDefault="002E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432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7C17A" w14:textId="6E4583D1" w:rsidR="002E1DCA" w:rsidRDefault="002E1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7653EA" w14:textId="77777777" w:rsidR="002E1DCA" w:rsidRDefault="002E1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28A2" w14:textId="77777777" w:rsidR="002E1DCA" w:rsidRDefault="002E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9DF8" w14:textId="77777777" w:rsidR="00FF2DBF" w:rsidRDefault="00FF2DBF" w:rsidP="001C2F67">
      <w:pPr>
        <w:spacing w:after="0" w:line="240" w:lineRule="auto"/>
      </w:pPr>
      <w:r>
        <w:separator/>
      </w:r>
    </w:p>
  </w:footnote>
  <w:footnote w:type="continuationSeparator" w:id="0">
    <w:p w14:paraId="473E8F91" w14:textId="77777777" w:rsidR="00FF2DBF" w:rsidRDefault="00FF2DBF" w:rsidP="001C2F67">
      <w:pPr>
        <w:spacing w:after="0" w:line="240" w:lineRule="auto"/>
      </w:pPr>
      <w:r>
        <w:continuationSeparator/>
      </w:r>
    </w:p>
  </w:footnote>
  <w:footnote w:type="continuationNotice" w:id="1">
    <w:p w14:paraId="6A50D980" w14:textId="77777777" w:rsidR="00FF2DBF" w:rsidRDefault="00FF2D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E10B" w14:textId="77777777" w:rsidR="002E1DCA" w:rsidRDefault="002E1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8D0C" w14:textId="77777777" w:rsidR="002E1DCA" w:rsidRDefault="002E1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36DC" w14:textId="77777777" w:rsidR="002E1DCA" w:rsidRDefault="002E1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6980"/>
    <w:multiLevelType w:val="hybridMultilevel"/>
    <w:tmpl w:val="3CDAF656"/>
    <w:lvl w:ilvl="0" w:tplc="79FAC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3452"/>
    <w:multiLevelType w:val="multilevel"/>
    <w:tmpl w:val="9F0659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Cc49L8fovXPXgScfSSloP77hCfRyAVMQ8vVb4DcVPiuPkHwLv22rk5HJ8HZSGBXpkB8cWl58vzXlwVNlDniMYw==" w:salt="/XFKRODe1dMRGTvSgQVgTA==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uRFUVb8CEe3NgnVDflOHU02DZ8k3D5tCV3iJ/ikyRCue7mk6cRj2mOzE2OrGQjVGmzDtHfJK4xA3ohQJeb4Kw==" w:salt="5Ebp86JCF9+eN24fyf16z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3F"/>
    <w:rsid w:val="000151CF"/>
    <w:rsid w:val="00016069"/>
    <w:rsid w:val="00017CE0"/>
    <w:rsid w:val="0003420C"/>
    <w:rsid w:val="00053C87"/>
    <w:rsid w:val="00061D0D"/>
    <w:rsid w:val="00075B7E"/>
    <w:rsid w:val="0009677C"/>
    <w:rsid w:val="000A4249"/>
    <w:rsid w:val="000B159E"/>
    <w:rsid w:val="000D1BA7"/>
    <w:rsid w:val="000D3816"/>
    <w:rsid w:val="00114D6B"/>
    <w:rsid w:val="00120783"/>
    <w:rsid w:val="001752FF"/>
    <w:rsid w:val="00180A2B"/>
    <w:rsid w:val="00190702"/>
    <w:rsid w:val="0019319E"/>
    <w:rsid w:val="001C1CA5"/>
    <w:rsid w:val="001C2F67"/>
    <w:rsid w:val="001D03D2"/>
    <w:rsid w:val="001F417C"/>
    <w:rsid w:val="00204451"/>
    <w:rsid w:val="002211A2"/>
    <w:rsid w:val="00250178"/>
    <w:rsid w:val="002512AB"/>
    <w:rsid w:val="00273E53"/>
    <w:rsid w:val="0028526E"/>
    <w:rsid w:val="002A3F9D"/>
    <w:rsid w:val="002B22D1"/>
    <w:rsid w:val="002D5A60"/>
    <w:rsid w:val="002E1DCA"/>
    <w:rsid w:val="002E2416"/>
    <w:rsid w:val="00327FEF"/>
    <w:rsid w:val="00343D16"/>
    <w:rsid w:val="003479A6"/>
    <w:rsid w:val="003C61E3"/>
    <w:rsid w:val="003D1608"/>
    <w:rsid w:val="003D5E46"/>
    <w:rsid w:val="0042085F"/>
    <w:rsid w:val="00441592"/>
    <w:rsid w:val="004507BE"/>
    <w:rsid w:val="004F1D82"/>
    <w:rsid w:val="00513013"/>
    <w:rsid w:val="00536B8A"/>
    <w:rsid w:val="005432AB"/>
    <w:rsid w:val="00567E2C"/>
    <w:rsid w:val="005714B8"/>
    <w:rsid w:val="005A6D58"/>
    <w:rsid w:val="005B222D"/>
    <w:rsid w:val="005B3EBC"/>
    <w:rsid w:val="00604C7E"/>
    <w:rsid w:val="00662BA9"/>
    <w:rsid w:val="006928F7"/>
    <w:rsid w:val="006A6CDB"/>
    <w:rsid w:val="006A7250"/>
    <w:rsid w:val="0071376A"/>
    <w:rsid w:val="00730724"/>
    <w:rsid w:val="00737D58"/>
    <w:rsid w:val="007611E7"/>
    <w:rsid w:val="007B0A6E"/>
    <w:rsid w:val="007C01EC"/>
    <w:rsid w:val="007C5BF9"/>
    <w:rsid w:val="007D7323"/>
    <w:rsid w:val="007F30A1"/>
    <w:rsid w:val="008312A2"/>
    <w:rsid w:val="0087002B"/>
    <w:rsid w:val="00886FD5"/>
    <w:rsid w:val="00897CFF"/>
    <w:rsid w:val="008C70E6"/>
    <w:rsid w:val="008D0723"/>
    <w:rsid w:val="009150CC"/>
    <w:rsid w:val="00952812"/>
    <w:rsid w:val="009A0DE7"/>
    <w:rsid w:val="009D73BC"/>
    <w:rsid w:val="009E6CF2"/>
    <w:rsid w:val="00A07A15"/>
    <w:rsid w:val="00A11B25"/>
    <w:rsid w:val="00A141C5"/>
    <w:rsid w:val="00A31795"/>
    <w:rsid w:val="00A3563D"/>
    <w:rsid w:val="00A75146"/>
    <w:rsid w:val="00AB6610"/>
    <w:rsid w:val="00AD1507"/>
    <w:rsid w:val="00AD4517"/>
    <w:rsid w:val="00B2143F"/>
    <w:rsid w:val="00B56168"/>
    <w:rsid w:val="00B75E65"/>
    <w:rsid w:val="00B907BC"/>
    <w:rsid w:val="00B96B2F"/>
    <w:rsid w:val="00BA62AE"/>
    <w:rsid w:val="00BB0017"/>
    <w:rsid w:val="00BB263C"/>
    <w:rsid w:val="00BB470C"/>
    <w:rsid w:val="00BD6CE4"/>
    <w:rsid w:val="00BE3714"/>
    <w:rsid w:val="00C220E2"/>
    <w:rsid w:val="00C354BA"/>
    <w:rsid w:val="00C36892"/>
    <w:rsid w:val="00C37FBA"/>
    <w:rsid w:val="00C401C1"/>
    <w:rsid w:val="00C53FA3"/>
    <w:rsid w:val="00C72B4D"/>
    <w:rsid w:val="00C778A3"/>
    <w:rsid w:val="00C803C6"/>
    <w:rsid w:val="00C90E49"/>
    <w:rsid w:val="00CD7E54"/>
    <w:rsid w:val="00D269F4"/>
    <w:rsid w:val="00D33B1C"/>
    <w:rsid w:val="00D45120"/>
    <w:rsid w:val="00D82C0B"/>
    <w:rsid w:val="00DD1866"/>
    <w:rsid w:val="00E314DF"/>
    <w:rsid w:val="00E43A28"/>
    <w:rsid w:val="00E455DE"/>
    <w:rsid w:val="00E709D4"/>
    <w:rsid w:val="00EA6CA4"/>
    <w:rsid w:val="00EB6683"/>
    <w:rsid w:val="00ED3018"/>
    <w:rsid w:val="00F215A4"/>
    <w:rsid w:val="00F23383"/>
    <w:rsid w:val="00F414FE"/>
    <w:rsid w:val="00F44390"/>
    <w:rsid w:val="00F75116"/>
    <w:rsid w:val="00F8463F"/>
    <w:rsid w:val="00FD5FE8"/>
    <w:rsid w:val="00FF20A4"/>
    <w:rsid w:val="00FF2DBF"/>
    <w:rsid w:val="3501A413"/>
    <w:rsid w:val="476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62720"/>
  <w15:chartTrackingRefBased/>
  <w15:docId w15:val="{C4BB5ADF-389A-4B17-BFF0-312396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451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inorHAnsi"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45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45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45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45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45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45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45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45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15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F67"/>
  </w:style>
  <w:style w:type="paragraph" w:styleId="Footer">
    <w:name w:val="footer"/>
    <w:basedOn w:val="Normal"/>
    <w:link w:val="FooterChar"/>
    <w:uiPriority w:val="99"/>
    <w:unhideWhenUsed/>
    <w:rsid w:val="001C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F67"/>
  </w:style>
  <w:style w:type="character" w:styleId="CommentReference">
    <w:name w:val="annotation reference"/>
    <w:basedOn w:val="DefaultParagraphFont"/>
    <w:uiPriority w:val="99"/>
    <w:semiHidden/>
    <w:unhideWhenUsed/>
    <w:rsid w:val="00BB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1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4451"/>
    <w:rPr>
      <w:rFonts w:eastAsiaTheme="majorEastAsia" w:cstheme="minorHAnsi"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4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4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4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4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4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4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4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Sheet3!$H$3</c:f>
              <c:strCache>
                <c:ptCount val="1"/>
                <c:pt idx="0">
                  <c:v>Number of Species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Sheet3!$G$4:$G$49</c:f>
              <c:numCache>
                <c:formatCode>General</c:formatCode>
                <c:ptCount val="4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</c:numCache>
            </c:numRef>
          </c:cat>
          <c:val>
            <c:numRef>
              <c:f>Sheet3!$H$4:$H$49</c:f>
              <c:numCache>
                <c:formatCode>General</c:formatCode>
                <c:ptCount val="46"/>
                <c:pt idx="0">
                  <c:v>51</c:v>
                </c:pt>
                <c:pt idx="1">
                  <c:v>23</c:v>
                </c:pt>
                <c:pt idx="2">
                  <c:v>9</c:v>
                </c:pt>
                <c:pt idx="3">
                  <c:v>15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B1-4A67-A8E2-85DD1BF0F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341424"/>
        <c:axId val="513340112"/>
      </c:barChart>
      <c:catAx>
        <c:axId val="513341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Toxicity Values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340112"/>
        <c:crosses val="autoZero"/>
        <c:auto val="1"/>
        <c:lblAlgn val="ctr"/>
        <c:lblOffset val="100"/>
        <c:noMultiLvlLbl val="0"/>
      </c:catAx>
      <c:valAx>
        <c:axId val="51334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Species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334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2020-03-11T13:44:01+00:00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77E3C1-F58F-47B6-AF41-F2A6B7B8A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495DC-F6EB-44EF-9C1B-7B729CB7B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184E2-8C80-4D75-8AF9-82B64135F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CFC36-A094-4B53-92DF-CE1C53630B9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CFBB4B-0A5E-4C88-9CBB-A8349D979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69afd8-9bdb-481b-b26a-06cbd17fa30c"/>
    <ds:schemaRef ds:uri="http://purl.org/dc/elements/1.1/"/>
    <ds:schemaRef ds:uri="http://schemas.microsoft.com/office/2006/metadata/properties"/>
    <ds:schemaRef ds:uri="a5d1ca4e-0a3f-4119-b619-e20b93ebd1aa"/>
    <ds:schemaRef ds:uri="http://schemas.microsoft.com/sharepoint/v3/fields"/>
    <ds:schemaRef ds:uri="http://schemas.microsoft.com/sharepoint/v3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2594</Words>
  <Characters>14792</Characters>
  <Application>Microsoft Office Word</Application>
  <DocSecurity>14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Harwood, Douglas (Ethan)</dc:creator>
  <cp:lastModifiedBy>Harwood, Douglas (Ethan)</cp:lastModifiedBy>
  <cp:revision>2</cp:revision>
  <dcterms:created xsi:type="dcterms:W3CDTF">2021-03-09T19:58:00Z</dcterms:created>
  <dcterms:modified xsi:type="dcterms:W3CDTF">2021-03-09T19:58:00Z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0x010100468ED9461BD0F242A21E59CB3747CA89</vt:lpwstr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Order">
    <vt:r8>26629100</vt:r8>
  </property>
  <property fmtid="{D5CDD505-2E9C-101B-9397-08002B2CF9AE}" pid="7" name="ComplianceAssetId">
    <vt:lpwstr/>
  </property>
  <property fmtid="{D5CDD505-2E9C-101B-9397-08002B2CF9AE}" pid="8" name="Records Status">
    <vt:lpwstr>Pending</vt:lpwstr>
  </property>
</Properties>
</file>