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C9802" w14:textId="61A9C957" w:rsidR="00CC664F" w:rsidRDefault="005A7CEB" w:rsidP="00CC664F">
      <w:pPr>
        <w:rPr>
          <w:b/>
          <w:color w:val="4472C4" w:themeColor="accent5"/>
          <w:sz w:val="32"/>
          <w:szCs w:val="32"/>
        </w:rPr>
      </w:pPr>
      <w:r>
        <w:rPr>
          <w:b/>
          <w:color w:val="4472C4" w:themeColor="accent5"/>
          <w:sz w:val="32"/>
          <w:szCs w:val="32"/>
        </w:rPr>
        <w:t>Atrazine</w:t>
      </w:r>
      <w:r w:rsidR="00CC664F" w:rsidRPr="00D279F4">
        <w:rPr>
          <w:b/>
          <w:color w:val="4472C4" w:themeColor="accent5"/>
          <w:sz w:val="32"/>
          <w:szCs w:val="32"/>
        </w:rPr>
        <w:t xml:space="preserve"> Executive Summary for </w:t>
      </w:r>
      <w:r w:rsidR="00F41F3A">
        <w:rPr>
          <w:b/>
          <w:color w:val="4472C4" w:themeColor="accent5"/>
          <w:sz w:val="32"/>
          <w:szCs w:val="32"/>
        </w:rPr>
        <w:t xml:space="preserve">Draft </w:t>
      </w:r>
      <w:r w:rsidR="00B01EBB">
        <w:rPr>
          <w:b/>
          <w:color w:val="4472C4" w:themeColor="accent5"/>
          <w:sz w:val="32"/>
          <w:szCs w:val="32"/>
        </w:rPr>
        <w:t>Biological Evaluation</w:t>
      </w:r>
    </w:p>
    <w:p w14:paraId="7768384A" w14:textId="77777777" w:rsidR="00330467" w:rsidRDefault="00330467">
      <w:bookmarkStart w:id="0" w:name="_GoBack"/>
      <w:bookmarkEnd w:id="0"/>
    </w:p>
    <w:p w14:paraId="400042D2" w14:textId="180B3C26" w:rsidR="008322C6" w:rsidRDefault="00330467" w:rsidP="575D139D">
      <w:r>
        <w:t xml:space="preserve">This </w:t>
      </w:r>
      <w:r w:rsidR="005B5236">
        <w:t xml:space="preserve">Biological Evaluation </w:t>
      </w:r>
      <w:r w:rsidR="000F2DC8">
        <w:t xml:space="preserve">(BE) </w:t>
      </w:r>
      <w:r w:rsidR="005B5236">
        <w:t>assesses</w:t>
      </w:r>
      <w:r>
        <w:t xml:space="preserve"> </w:t>
      </w:r>
      <w:r w:rsidR="008322C6">
        <w:t xml:space="preserve">potential risks that </w:t>
      </w:r>
      <w:r>
        <w:t xml:space="preserve">registered uses of </w:t>
      </w:r>
      <w:r w:rsidR="005A7CEB">
        <w:t>atrazine</w:t>
      </w:r>
      <w:r w:rsidR="00DF03C3">
        <w:t xml:space="preserve"> (PC code 0</w:t>
      </w:r>
      <w:r w:rsidR="00994F37">
        <w:t>8080</w:t>
      </w:r>
      <w:r w:rsidR="00D303B3">
        <w:t>3</w:t>
      </w:r>
      <w:r>
        <w:t xml:space="preserve">) </w:t>
      </w:r>
      <w:r w:rsidR="0026396F">
        <w:t xml:space="preserve">may </w:t>
      </w:r>
      <w:r w:rsidR="008322C6">
        <w:t>pose</w:t>
      </w:r>
      <w:r w:rsidR="000F2DC8">
        <w:t xml:space="preserve"> </w:t>
      </w:r>
      <w:r>
        <w:t xml:space="preserve">to </w:t>
      </w:r>
      <w:r w:rsidR="000F2DC8">
        <w:t xml:space="preserve">an individual of a </w:t>
      </w:r>
      <w:r w:rsidR="00FF367E">
        <w:t xml:space="preserve">listed </w:t>
      </w:r>
      <w:r>
        <w:t>species or designated critical habitat</w:t>
      </w:r>
      <w:r w:rsidR="007166BF">
        <w:t xml:space="preserve">. </w:t>
      </w:r>
      <w:r w:rsidR="0082687E">
        <w:t xml:space="preserve">The federal action </w:t>
      </w:r>
      <w:r w:rsidR="0026396F">
        <w:t>considered in this BE is the</w:t>
      </w:r>
      <w:r w:rsidR="0082687E">
        <w:t xml:space="preserve"> Registration Review for </w:t>
      </w:r>
      <w:r w:rsidR="005A7CEB">
        <w:t>atrazine</w:t>
      </w:r>
      <w:r w:rsidR="0026396F">
        <w:t>, which</w:t>
      </w:r>
      <w:r w:rsidR="0082687E">
        <w:t xml:space="preserve"> encompasses the review of all the registered uses</w:t>
      </w:r>
      <w:r w:rsidR="009752ED">
        <w:t xml:space="preserve"> and</w:t>
      </w:r>
      <w:r w:rsidR="009752ED" w:rsidRPr="00C22351">
        <w:t xml:space="preserve"> </w:t>
      </w:r>
      <w:r w:rsidR="009752ED" w:rsidRPr="00B67804">
        <w:t>any agreed upon changes to these labels from the technical registrants</w:t>
      </w:r>
      <w:r w:rsidR="009752ED">
        <w:t>,</w:t>
      </w:r>
      <w:r w:rsidR="0082687E">
        <w:t xml:space="preserve"> and the approved product labels for all pesticide products containing </w:t>
      </w:r>
      <w:r w:rsidR="005A7CEB">
        <w:t>atrazine</w:t>
      </w:r>
      <w:r w:rsidR="0082687E">
        <w:t>.</w:t>
      </w:r>
    </w:p>
    <w:p w14:paraId="3CE683EE" w14:textId="77777777" w:rsidR="008322C6" w:rsidRDefault="008322C6" w:rsidP="575D139D"/>
    <w:p w14:paraId="557F5699" w14:textId="095CA646" w:rsidR="00EB33B0" w:rsidRDefault="000707E4" w:rsidP="575D139D">
      <w:pPr>
        <w:rPr>
          <w:rStyle w:val="eop"/>
        </w:rPr>
      </w:pPr>
      <w:r>
        <w:rPr>
          <w:rStyle w:val="eop"/>
        </w:rPr>
        <w:t>The term “l</w:t>
      </w:r>
      <w:r w:rsidR="00FF367E" w:rsidRPr="575D139D">
        <w:rPr>
          <w:rStyle w:val="eop"/>
        </w:rPr>
        <w:t>isted species</w:t>
      </w:r>
      <w:r>
        <w:rPr>
          <w:rStyle w:val="eop"/>
        </w:rPr>
        <w:t>”</w:t>
      </w:r>
      <w:r w:rsidR="00FF367E" w:rsidRPr="575D139D">
        <w:rPr>
          <w:rStyle w:val="eop"/>
        </w:rPr>
        <w:t xml:space="preserve"> include</w:t>
      </w:r>
      <w:r>
        <w:rPr>
          <w:rStyle w:val="eop"/>
        </w:rPr>
        <w:t>s</w:t>
      </w:r>
      <w:r w:rsidR="00FF367E" w:rsidRPr="575D139D">
        <w:rPr>
          <w:rStyle w:val="eop"/>
        </w:rPr>
        <w:t xml:space="preserve"> those that are federally listed as endangered and threatened, as well as those that are proposed and candidates for listing and experimental populations. </w:t>
      </w:r>
      <w:r w:rsidR="00EB33B0" w:rsidRPr="575D139D">
        <w:t xml:space="preserve">The methods employed in this BE follow the </w:t>
      </w:r>
      <w:r w:rsidR="00EB33B0" w:rsidRPr="575D139D">
        <w:rPr>
          <w:rStyle w:val="normaltextrun"/>
        </w:rPr>
        <w:t>Revised Method</w:t>
      </w:r>
      <w:r w:rsidR="00EB33B0" w:rsidRPr="575D139D">
        <w:rPr>
          <w:rStyle w:val="eop"/>
        </w:rPr>
        <w:t> </w:t>
      </w:r>
      <w:r w:rsidR="00EB33B0" w:rsidRPr="575D139D">
        <w:rPr>
          <w:rStyle w:val="normaltextrun"/>
        </w:rPr>
        <w:t>for National Level Listed Species Biological Evaluations of Conventional Pesticides</w:t>
      </w:r>
      <w:r w:rsidR="00EB33B0" w:rsidRPr="575D139D">
        <w:rPr>
          <w:rStyle w:val="eop"/>
        </w:rPr>
        <w:t> (referred to as the “Revised Method”)</w:t>
      </w:r>
      <w:r w:rsidR="00EB33B0" w:rsidRPr="575D139D">
        <w:rPr>
          <w:rStyle w:val="FootnoteReference"/>
        </w:rPr>
        <w:footnoteReference w:id="2"/>
      </w:r>
      <w:r w:rsidR="00EB33B0" w:rsidRPr="575D139D">
        <w:rPr>
          <w:rStyle w:val="eop"/>
        </w:rPr>
        <w:t>.</w:t>
      </w:r>
      <w:r w:rsidR="00EB33B0" w:rsidRPr="00EB33B0">
        <w:t xml:space="preserve"> </w:t>
      </w:r>
      <w:r w:rsidR="00EB33B0">
        <w:t xml:space="preserve">The </w:t>
      </w:r>
      <w:r w:rsidR="0026396F">
        <w:t>R</w:t>
      </w:r>
      <w:r w:rsidR="00EB33B0">
        <w:t xml:space="preserve">evised </w:t>
      </w:r>
      <w:r w:rsidR="0026396F">
        <w:t>M</w:t>
      </w:r>
      <w:r w:rsidR="00EB33B0">
        <w:t xml:space="preserve">ethod incorporates </w:t>
      </w:r>
      <w:r w:rsidR="677E09C3">
        <w:t xml:space="preserve">input </w:t>
      </w:r>
      <w:r w:rsidR="00EB33B0">
        <w:t>from the public, US Fish and Wildlife Service</w:t>
      </w:r>
      <w:r w:rsidR="00A70773">
        <w:t xml:space="preserve"> (FWS)</w:t>
      </w:r>
      <w:r w:rsidR="00EB33B0">
        <w:t xml:space="preserve">, National Marine Fisheries Service </w:t>
      </w:r>
      <w:r w:rsidR="00A70773">
        <w:t xml:space="preserve">(NMFS) </w:t>
      </w:r>
      <w:r w:rsidR="00EB33B0">
        <w:t>and US Department of Agriculture</w:t>
      </w:r>
      <w:r w:rsidR="00A70773">
        <w:t xml:space="preserve"> (USDA)</w:t>
      </w:r>
      <w:r w:rsidR="00EB33B0">
        <w:t>.</w:t>
      </w:r>
    </w:p>
    <w:p w14:paraId="00F34A55" w14:textId="4BB9BE6C" w:rsidR="00CD3692" w:rsidRDefault="00CD3692" w:rsidP="00CD3692"/>
    <w:p w14:paraId="7550FD08" w14:textId="18091F62" w:rsidR="007505C3" w:rsidRDefault="0082687E" w:rsidP="00CE1C66">
      <w:pPr>
        <w:rPr>
          <w:rFonts w:eastAsiaTheme="minorEastAsia"/>
        </w:rPr>
      </w:pPr>
      <w:r w:rsidRPr="001561C2">
        <w:rPr>
          <w:rStyle w:val="eop"/>
          <w:rFonts w:cstheme="minorHAnsi"/>
        </w:rPr>
        <w:t xml:space="preserve">As described in the </w:t>
      </w:r>
      <w:r>
        <w:rPr>
          <w:rStyle w:val="eop"/>
          <w:rFonts w:cstheme="minorHAnsi"/>
        </w:rPr>
        <w:t>R</w:t>
      </w:r>
      <w:r w:rsidRPr="001561C2">
        <w:rPr>
          <w:rStyle w:val="eop"/>
          <w:rFonts w:cstheme="minorHAnsi"/>
        </w:rPr>
        <w:t xml:space="preserve">evised </w:t>
      </w:r>
      <w:r>
        <w:rPr>
          <w:rStyle w:val="eop"/>
          <w:rFonts w:cstheme="minorHAnsi"/>
        </w:rPr>
        <w:t>M</w:t>
      </w:r>
      <w:r w:rsidRPr="001561C2">
        <w:rPr>
          <w:rStyle w:val="eop"/>
          <w:rFonts w:cstheme="minorHAnsi"/>
        </w:rPr>
        <w:t xml:space="preserve">ethod, </w:t>
      </w:r>
      <w:r w:rsidR="009174AE">
        <w:rPr>
          <w:rStyle w:val="eop"/>
          <w:rFonts w:cstheme="minorHAnsi"/>
        </w:rPr>
        <w:t xml:space="preserve">EPA’s development of this </w:t>
      </w:r>
      <w:r w:rsidR="0026396F">
        <w:rPr>
          <w:rStyle w:val="eop"/>
          <w:rFonts w:cstheme="minorHAnsi"/>
        </w:rPr>
        <w:t>BE includes two steps.</w:t>
      </w:r>
      <w:r w:rsidRPr="001561C2">
        <w:rPr>
          <w:rStyle w:val="eop"/>
          <w:rFonts w:cstheme="minorHAnsi"/>
        </w:rPr>
        <w:t xml:space="preserve"> </w:t>
      </w:r>
      <w:r w:rsidR="0026396F">
        <w:rPr>
          <w:rStyle w:val="eop"/>
          <w:rFonts w:cstheme="minorHAnsi"/>
        </w:rPr>
        <w:t>The BE includes an evaluation of</w:t>
      </w:r>
      <w:r w:rsidRPr="001561C2">
        <w:rPr>
          <w:rFonts w:eastAsiaTheme="minorEastAsia"/>
        </w:rPr>
        <w:t xml:space="preserve"> whether an individual of a listed species is reasonably expected to be exposed to a pesticide</w:t>
      </w:r>
      <w:r w:rsidR="009174AE">
        <w:rPr>
          <w:rFonts w:eastAsiaTheme="minorEastAsia"/>
        </w:rPr>
        <w:t xml:space="preserve"> at a level that results in a discernable effect</w:t>
      </w:r>
      <w:r w:rsidRPr="001561C2">
        <w:rPr>
          <w:rFonts w:eastAsiaTheme="minorEastAsia"/>
        </w:rPr>
        <w:t xml:space="preserve">, and, if so, distinguishes effects that are likely to adversely affect an individual of a species from those that are not likely to adversely affect an individual. This process is also applied to the designated critical habitat of listed species (when available). In Step 1, for every listed species and designated critical habitat, EPA determines whether </w:t>
      </w:r>
      <w:r w:rsidR="005A7CEB">
        <w:rPr>
          <w:rFonts w:eastAsiaTheme="minorEastAsia"/>
        </w:rPr>
        <w:t>atrazine</w:t>
      </w:r>
      <w:r w:rsidRPr="001561C2">
        <w:rPr>
          <w:rFonts w:eastAsiaTheme="minorEastAsia"/>
        </w:rPr>
        <w:t xml:space="preserve"> will have No Effect (NE) or </w:t>
      </w:r>
      <w:r>
        <w:rPr>
          <w:rFonts w:eastAsiaTheme="minorEastAsia"/>
        </w:rPr>
        <w:t>M</w:t>
      </w:r>
      <w:r w:rsidRPr="001561C2">
        <w:rPr>
          <w:rFonts w:eastAsiaTheme="minorEastAsia"/>
        </w:rPr>
        <w:t xml:space="preserve">ay </w:t>
      </w:r>
      <w:r>
        <w:rPr>
          <w:rFonts w:eastAsiaTheme="minorEastAsia"/>
        </w:rPr>
        <w:t>A</w:t>
      </w:r>
      <w:r w:rsidRPr="001561C2">
        <w:rPr>
          <w:rFonts w:eastAsiaTheme="minorEastAsia"/>
        </w:rPr>
        <w:t xml:space="preserve">ffect (MA) (separate determinations made for each species and critical habitat). </w:t>
      </w:r>
      <w:r w:rsidR="0026396F">
        <w:rPr>
          <w:rFonts w:eastAsiaTheme="minorEastAsia"/>
        </w:rPr>
        <w:t>F</w:t>
      </w:r>
      <w:r w:rsidRPr="001561C2">
        <w:rPr>
          <w:rFonts w:eastAsiaTheme="minorEastAsia"/>
        </w:rPr>
        <w:t xml:space="preserve">or those species and critical habitats with MA determinations, </w:t>
      </w:r>
      <w:r w:rsidR="0026396F">
        <w:rPr>
          <w:rFonts w:eastAsiaTheme="minorEastAsia"/>
        </w:rPr>
        <w:t xml:space="preserve">in Step 2, </w:t>
      </w:r>
      <w:r w:rsidRPr="001561C2">
        <w:rPr>
          <w:rFonts w:eastAsiaTheme="minorEastAsia"/>
        </w:rPr>
        <w:t xml:space="preserve">EPA will determine if </w:t>
      </w:r>
      <w:r w:rsidR="005A7CEB">
        <w:rPr>
          <w:rFonts w:eastAsiaTheme="minorEastAsia"/>
        </w:rPr>
        <w:t>atrazine</w:t>
      </w:r>
      <w:r w:rsidRPr="001561C2">
        <w:rPr>
          <w:rFonts w:eastAsiaTheme="minorEastAsia"/>
        </w:rPr>
        <w:t xml:space="preserve"> is Not Likely to Adversely Affect (NLAA) or Likely to Adversely Affect (LAA) each individual species or critical habitat. Details on the method</w:t>
      </w:r>
      <w:r>
        <w:rPr>
          <w:rFonts w:eastAsiaTheme="minorEastAsia"/>
        </w:rPr>
        <w:t>, models and tools used</w:t>
      </w:r>
      <w:r w:rsidRPr="001561C2">
        <w:rPr>
          <w:rFonts w:eastAsiaTheme="minorEastAsia"/>
        </w:rPr>
        <w:t xml:space="preserve"> for making NE,</w:t>
      </w:r>
      <w:r>
        <w:rPr>
          <w:rFonts w:eastAsiaTheme="minorEastAsia"/>
        </w:rPr>
        <w:t xml:space="preserve"> </w:t>
      </w:r>
      <w:r w:rsidRPr="001561C2">
        <w:rPr>
          <w:rFonts w:eastAsiaTheme="minorEastAsia"/>
        </w:rPr>
        <w:t>NLAA and LAA determinations are provided in the Revised Method</w:t>
      </w:r>
      <w:r w:rsidR="0026396F">
        <w:rPr>
          <w:rFonts w:eastAsiaTheme="minorEastAsia"/>
        </w:rPr>
        <w:t xml:space="preserve"> document</w:t>
      </w:r>
      <w:r w:rsidRPr="001561C2">
        <w:rPr>
          <w:rFonts w:eastAsiaTheme="minorEastAsia"/>
        </w:rPr>
        <w:t>.</w:t>
      </w:r>
    </w:p>
    <w:p w14:paraId="52A4FB41" w14:textId="1F7E2E32" w:rsidR="00C76A8B" w:rsidRDefault="00C76A8B" w:rsidP="00CE1C66"/>
    <w:p w14:paraId="46BEF92C" w14:textId="77777777" w:rsidR="00630493" w:rsidRDefault="00630493" w:rsidP="00CE1C66"/>
    <w:p w14:paraId="6DC61047" w14:textId="4FB7E17A" w:rsidR="00641ABE" w:rsidRPr="00A47034" w:rsidRDefault="00641ABE" w:rsidP="0098319A">
      <w:pPr>
        <w:pStyle w:val="Heading1"/>
      </w:pPr>
      <w:r w:rsidRPr="00E06F80">
        <w:t>General Information</w:t>
      </w:r>
    </w:p>
    <w:p w14:paraId="4B0CD0D6" w14:textId="77777777" w:rsidR="00761978" w:rsidRDefault="00761978" w:rsidP="00761978"/>
    <w:p w14:paraId="59BA6063" w14:textId="0ECEB4D9" w:rsidR="00D303B3" w:rsidRDefault="005A7CEB" w:rsidP="0045224D">
      <w:r>
        <w:rPr>
          <w:rFonts w:cstheme="minorHAnsi"/>
        </w:rPr>
        <w:t>Atrazine</w:t>
      </w:r>
      <w:r w:rsidR="00A02B04" w:rsidRPr="009B4E42">
        <w:rPr>
          <w:rFonts w:cstheme="minorHAnsi"/>
        </w:rPr>
        <w:t xml:space="preserve"> is </w:t>
      </w:r>
      <w:r w:rsidR="00A02B04" w:rsidRPr="009B4E42">
        <w:t>one of the most widely used herbicides in North America</w:t>
      </w:r>
      <w:r w:rsidR="00A02B04">
        <w:rPr>
          <w:rFonts w:cstheme="minorHAnsi"/>
        </w:rPr>
        <w:t xml:space="preserve">. </w:t>
      </w:r>
      <w:r w:rsidR="00A02B04" w:rsidRPr="009B4E42">
        <w:rPr>
          <w:rFonts w:cstheme="minorHAnsi"/>
        </w:rPr>
        <w:t>It is a chlorotriazine herbicide registered in the U.S. to control annual broadleaf and grass weeds</w:t>
      </w:r>
      <w:r w:rsidR="00A02B04">
        <w:rPr>
          <w:rFonts w:cstheme="minorHAnsi"/>
        </w:rPr>
        <w:t xml:space="preserve">. </w:t>
      </w:r>
      <w:r w:rsidR="00D303B3">
        <w:rPr>
          <w:rFonts w:cstheme="minorHAnsi"/>
        </w:rPr>
        <w:t>D</w:t>
      </w:r>
      <w:r w:rsidR="00D303B3" w:rsidRPr="003B7061">
        <w:t xml:space="preserve">uring the most recent five years of available survey data (2013-2017), an annual average of 72,000,000 pounds of atrazine were applied to an average of 75,000,000 acres of agricultural crops. </w:t>
      </w:r>
      <w:r w:rsidR="00BD322D">
        <w:t>T</w:t>
      </w:r>
      <w:r w:rsidR="00D303B3" w:rsidRPr="003B7061">
        <w:t>he</w:t>
      </w:r>
      <w:r w:rsidR="00D303B3">
        <w:t xml:space="preserve"> </w:t>
      </w:r>
      <w:r w:rsidR="00D303B3" w:rsidRPr="003B7061">
        <w:t>majority of atrazine is applied to corn both in terms of pounds a.i. applied (87%</w:t>
      </w:r>
      <w:r w:rsidR="00BD322D">
        <w:t xml:space="preserve"> of total; 62 million lbs applied annually</w:t>
      </w:r>
      <w:r w:rsidR="00D303B3" w:rsidRPr="003B7061">
        <w:t>) and acres treated (88%).</w:t>
      </w:r>
      <w:r w:rsidR="00D303B3">
        <w:t xml:space="preserve"> </w:t>
      </w:r>
      <w:r w:rsidR="00BD322D">
        <w:t>Sorghum and sugarcane make up the majority of the remaining annual usage. A</w:t>
      </w:r>
      <w:r w:rsidR="00D303B3">
        <w:t xml:space="preserve">nnual use on sorghum is approximately 6.4 million pounds and sugarcane is 1.7 million pounds. </w:t>
      </w:r>
      <w:r w:rsidR="00D303B3">
        <w:rPr>
          <w:lang w:val="en-CA"/>
        </w:rPr>
        <w:t>Most recent non-agricultural usage data from 2013 – 2017 shows that</w:t>
      </w:r>
      <w:r w:rsidR="00D303B3">
        <w:t xml:space="preserve"> for non-agricultural sites, thousands of pounds of atrazine were applied to non-agricultural sites with average annual applications of 300,000 pounds to residential turfgrass, 200,000 pounds to non-residential turfgrass (institutional facilities and sod farms) and 7,000 pounds to CRP land </w:t>
      </w:r>
      <w:r w:rsidR="00D303B3" w:rsidRPr="6D50E8B1">
        <w:rPr>
          <w:b/>
          <w:bCs/>
        </w:rPr>
        <w:t>(APPENDIX 1-4</w:t>
      </w:r>
      <w:r w:rsidR="00D303B3">
        <w:t>).</w:t>
      </w:r>
    </w:p>
    <w:p w14:paraId="732B661E" w14:textId="77777777" w:rsidR="00D303B3" w:rsidRDefault="00D303B3" w:rsidP="0045224D">
      <w:pPr>
        <w:rPr>
          <w:rFonts w:cstheme="minorHAnsi"/>
        </w:rPr>
      </w:pPr>
    </w:p>
    <w:p w14:paraId="3E580D44" w14:textId="77777777" w:rsidR="00D303B3" w:rsidRDefault="00D303B3" w:rsidP="0045224D">
      <w:pPr>
        <w:rPr>
          <w:rFonts w:cstheme="minorHAnsi"/>
        </w:rPr>
      </w:pPr>
    </w:p>
    <w:p w14:paraId="42C3DE1D" w14:textId="77777777" w:rsidR="008204F8" w:rsidRDefault="008204F8" w:rsidP="0045224D">
      <w:pPr>
        <w:rPr>
          <w:rFonts w:cstheme="minorHAnsi"/>
        </w:rPr>
      </w:pPr>
    </w:p>
    <w:p w14:paraId="6A50B12E" w14:textId="623506B7" w:rsidR="00DF03C3" w:rsidRDefault="003F60A7" w:rsidP="0045224D">
      <w:r>
        <w:lastRenderedPageBreak/>
        <w:t xml:space="preserve">This BE assesses all currently registered labels and any agreed upon changes to these labels from the registrants. </w:t>
      </w:r>
      <w:r w:rsidR="008204F8">
        <w:t>While the current labels may not reflect all the agreed upon changes, the technical registrants have agreed in the form of commitment letter</w:t>
      </w:r>
      <w:r w:rsidR="00266071">
        <w:t>s</w:t>
      </w:r>
      <w:r w:rsidR="008204F8">
        <w:t xml:space="preserve"> (see </w:t>
      </w:r>
      <w:r w:rsidR="008204F8" w:rsidRPr="7A71E167">
        <w:rPr>
          <w:b/>
          <w:bCs/>
        </w:rPr>
        <w:t>APPENDIX 1-2</w:t>
      </w:r>
      <w:r w:rsidR="008204F8">
        <w:t xml:space="preserve">) to update the </w:t>
      </w:r>
      <w:r w:rsidR="005A7CEB">
        <w:t>atrazine</w:t>
      </w:r>
      <w:r w:rsidR="008204F8">
        <w:t xml:space="preserve"> formulated product labels to be reflective of the changes (uses summarized in </w:t>
      </w:r>
      <w:r w:rsidR="008204F8" w:rsidRPr="7A71E167">
        <w:rPr>
          <w:b/>
          <w:bCs/>
        </w:rPr>
        <w:t>APPENDIX 1-3</w:t>
      </w:r>
      <w:r w:rsidR="008204F8">
        <w:t>).</w:t>
      </w:r>
      <w:r>
        <w:t xml:space="preserve"> </w:t>
      </w:r>
      <w:r w:rsidR="17A2AA07">
        <w:t>The</w:t>
      </w:r>
      <w:r w:rsidR="008204F8">
        <w:t xml:space="preserve"> commitment letters include restriction of applications to the contiguous United States only</w:t>
      </w:r>
      <w:r w:rsidR="00266071">
        <w:t>, removal of certain uses,</w:t>
      </w:r>
      <w:r w:rsidR="008204F8">
        <w:t xml:space="preserve"> and implementation of new buffers and mandatory spray drift language (see </w:t>
      </w:r>
      <w:r w:rsidR="008204F8" w:rsidRPr="7A71E167">
        <w:rPr>
          <w:b/>
          <w:bCs/>
        </w:rPr>
        <w:t>APPENDIX</w:t>
      </w:r>
      <w:r w:rsidR="008204F8">
        <w:t xml:space="preserve"> </w:t>
      </w:r>
      <w:r w:rsidR="008204F8" w:rsidRPr="00AC59BB">
        <w:rPr>
          <w:b/>
          <w:bCs/>
        </w:rPr>
        <w:t>1-2</w:t>
      </w:r>
      <w:r w:rsidR="008204F8">
        <w:t xml:space="preserve"> for specific details). </w:t>
      </w:r>
      <w:r w:rsidR="00D303B3">
        <w:t xml:space="preserve">Atrazine can be applied as a liquid </w:t>
      </w:r>
      <w:r w:rsidR="00BD322D">
        <w:t xml:space="preserve">formulation </w:t>
      </w:r>
      <w:r w:rsidR="00D303B3">
        <w:t xml:space="preserve">for all crops as well as </w:t>
      </w:r>
      <w:r w:rsidR="4CC1B399">
        <w:t xml:space="preserve">a granule </w:t>
      </w:r>
      <w:r w:rsidR="00BD322D">
        <w:t xml:space="preserve">formulation </w:t>
      </w:r>
      <w:r w:rsidR="00D303B3">
        <w:t>for turf. Atrazine may be applied by ground or aerial applications, which may occur at different times throughout the year including multiple applications to the same crop.</w:t>
      </w:r>
    </w:p>
    <w:p w14:paraId="03444C95" w14:textId="77777777" w:rsidR="0061209B" w:rsidRDefault="0061209B" w:rsidP="0045224D"/>
    <w:p w14:paraId="2513319B" w14:textId="105D4C60" w:rsidR="00A02B04" w:rsidRPr="00BE105A" w:rsidRDefault="00D303B3" w:rsidP="00A02B04">
      <w:r w:rsidRPr="00D303B3">
        <w:t xml:space="preserve">The major transport routes off the treated area for atrazine include runoff and spray drift. The main routes of dissipation for atrazine are microbial degradation under aerobic conditions in water and soil, runoff, and leaching. Because of its persistence and mobility, atrazine can move into surface and ground water. Atrazine has a low vapor pressure and Henry’s Law Constant, suggesting low potential for volatilization. Atrazine is highly soluble in water with a reported aqueous solubility value of 33 mg/L at 20-25oC. Bioaccumulation of atrazine is expected to be low due to a low octanol water partitioning coefficient (Kow = 501) and low bioconcentration factors (BCF). Soil sorption coefficients for atrazine (KF) range from 0.203-2.71 mL/g (1/n=0.89-0.94); average Koc= 75 mL/gOC (MRID 41257901). Information on leaching and adsorption/desorption indicate that atrazine is considered moderately mobile according to the Food and Agricultural Organization (FAO) mobility classification system. Additional details on the fate of atrazine are provided in </w:t>
      </w:r>
      <w:r w:rsidRPr="006A02F6">
        <w:rPr>
          <w:b/>
          <w:bCs/>
        </w:rPr>
        <w:t>Chapter 3</w:t>
      </w:r>
      <w:r w:rsidRPr="00D303B3">
        <w:t xml:space="preserve"> of the Biological Evaluation.</w:t>
      </w:r>
      <w:r w:rsidR="00331B2C">
        <w:t xml:space="preserve"> </w:t>
      </w:r>
      <w:bookmarkStart w:id="1" w:name="_Hlk52781159"/>
      <w:r w:rsidR="00331B2C">
        <w:t xml:space="preserve">Residues of concern are discussed in </w:t>
      </w:r>
      <w:r w:rsidR="00AC59BB" w:rsidRPr="006A02F6">
        <w:rPr>
          <w:b/>
          <w:bCs/>
        </w:rPr>
        <w:t xml:space="preserve">APPENDIX </w:t>
      </w:r>
      <w:r w:rsidR="00331B2C" w:rsidRPr="006A02F6">
        <w:rPr>
          <w:b/>
          <w:bCs/>
        </w:rPr>
        <w:t>1-8</w:t>
      </w:r>
      <w:r w:rsidR="00331B2C">
        <w:t>.</w:t>
      </w:r>
      <w:bookmarkEnd w:id="1"/>
      <w:r w:rsidR="00331B2C">
        <w:t xml:space="preserve"> </w:t>
      </w:r>
    </w:p>
    <w:p w14:paraId="2AA0BC6C" w14:textId="77777777" w:rsidR="00761978" w:rsidRPr="00761978" w:rsidRDefault="00761978" w:rsidP="0045224D"/>
    <w:p w14:paraId="03572680" w14:textId="348C3198" w:rsidR="00A02B04" w:rsidRPr="00946398" w:rsidRDefault="00A02B04" w:rsidP="008C01AA">
      <w:pPr>
        <w:rPr>
          <w:rFonts w:cstheme="minorHAnsi"/>
        </w:rPr>
      </w:pPr>
      <w:r>
        <w:rPr>
          <w:rFonts w:cstheme="minorHAnsi"/>
        </w:rPr>
        <w:t>Similar to the other chlor</w:t>
      </w:r>
      <w:r w:rsidR="00814563">
        <w:rPr>
          <w:rFonts w:cstheme="minorHAnsi"/>
        </w:rPr>
        <w:t>o</w:t>
      </w:r>
      <w:r>
        <w:rPr>
          <w:rFonts w:cstheme="minorHAnsi"/>
        </w:rPr>
        <w:t>triazine</w:t>
      </w:r>
      <w:r w:rsidRPr="00946398">
        <w:rPr>
          <w:rFonts w:cstheme="minorHAnsi"/>
        </w:rPr>
        <w:t xml:space="preserve"> herbicides</w:t>
      </w:r>
      <w:r>
        <w:rPr>
          <w:rFonts w:cstheme="minorHAnsi"/>
        </w:rPr>
        <w:t xml:space="preserve"> with</w:t>
      </w:r>
      <w:r w:rsidRPr="00946398">
        <w:rPr>
          <w:rFonts w:cstheme="minorHAnsi"/>
        </w:rPr>
        <w:t xml:space="preserve"> current registrations in the United States</w:t>
      </w:r>
      <w:r>
        <w:rPr>
          <w:rFonts w:cstheme="minorHAnsi"/>
        </w:rPr>
        <w:t xml:space="preserve"> (</w:t>
      </w:r>
      <w:r w:rsidR="009752ED">
        <w:rPr>
          <w:rFonts w:cstheme="minorHAnsi"/>
        </w:rPr>
        <w:t xml:space="preserve">simazine </w:t>
      </w:r>
      <w:r>
        <w:rPr>
          <w:rFonts w:cstheme="minorHAnsi"/>
        </w:rPr>
        <w:t xml:space="preserve">and propazine), </w:t>
      </w:r>
      <w:r w:rsidR="005A7CEB">
        <w:rPr>
          <w:rFonts w:cstheme="minorHAnsi"/>
        </w:rPr>
        <w:t>atrazine</w:t>
      </w:r>
      <w:r>
        <w:rPr>
          <w:rFonts w:cstheme="minorHAnsi"/>
        </w:rPr>
        <w:t xml:space="preserve"> works by</w:t>
      </w:r>
      <w:r w:rsidRPr="00946398">
        <w:rPr>
          <w:rFonts w:cstheme="minorHAnsi"/>
        </w:rPr>
        <w:t xml:space="preserve"> bind</w:t>
      </w:r>
      <w:r>
        <w:rPr>
          <w:rFonts w:cstheme="minorHAnsi"/>
        </w:rPr>
        <w:t>ing</w:t>
      </w:r>
      <w:r w:rsidRPr="00946398">
        <w:rPr>
          <w:rFonts w:cstheme="minorHAnsi"/>
        </w:rPr>
        <w:t xml:space="preserve"> with a protein complex of the photosystem II in chloroplast photosynthetic membranes (Schulz et al., 1990).</w:t>
      </w:r>
      <w:r w:rsidR="008C01AA" w:rsidRPr="00946398">
        <w:rPr>
          <w:rFonts w:cstheme="minorHAnsi"/>
        </w:rPr>
        <w:t xml:space="preserve"> The result is an inhibition in the transfer of electrons through the light reactions of photosynthesis that in turn inhibits the formation and release of oxygen, production of adenosine triphosphate, and the fixation of carbon dioxide into sugars.</w:t>
      </w:r>
      <w:r w:rsidR="008C01AA">
        <w:rPr>
          <w:rFonts w:cstheme="minorHAnsi"/>
        </w:rPr>
        <w:t xml:space="preserve"> </w:t>
      </w:r>
      <w:r w:rsidR="008204F8" w:rsidRPr="008204F8">
        <w:rPr>
          <w:rFonts w:cstheme="minorHAnsi"/>
        </w:rPr>
        <w:t xml:space="preserve">Plant death results from starvation and oxidative damage caused by the breakdown in photosynthesis. </w:t>
      </w:r>
      <w:r w:rsidR="008C01AA">
        <w:rPr>
          <w:rFonts w:cstheme="minorHAnsi"/>
        </w:rPr>
        <w:t xml:space="preserve">The three </w:t>
      </w:r>
      <w:r w:rsidRPr="00946398">
        <w:rPr>
          <w:rFonts w:cstheme="minorHAnsi"/>
        </w:rPr>
        <w:t>chlorotriazines result in similar herbicidal effects to terrestrial and aquatic plants. </w:t>
      </w:r>
    </w:p>
    <w:p w14:paraId="3B4C90AE" w14:textId="77777777" w:rsidR="00A02B04" w:rsidRDefault="00A02B04" w:rsidP="0045224D">
      <w:pPr>
        <w:rPr>
          <w:rFonts w:ascii="Calibri" w:eastAsia="Calibri" w:hAnsi="Calibri" w:cs="Calibri"/>
          <w:color w:val="000000"/>
          <w:highlight w:val="yellow"/>
        </w:rPr>
      </w:pPr>
    </w:p>
    <w:p w14:paraId="64F00F28" w14:textId="03A1BB47" w:rsidR="00D8211E" w:rsidRDefault="00873483" w:rsidP="0045224D">
      <w:r w:rsidRPr="00873483">
        <w:t>Atrazine is slightly toxic to birds and mammals and is practically non-toxic to terrestrial invertebrates on an acute exposure basis.</w:t>
      </w:r>
      <w:r w:rsidR="008C01AA" w:rsidRPr="009B4E42">
        <w:t xml:space="preserve"> In most terrestrial animal species, </w:t>
      </w:r>
      <w:r w:rsidR="008C01AA">
        <w:t>sublethal</w:t>
      </w:r>
      <w:r w:rsidR="008C01AA" w:rsidRPr="009B4E42">
        <w:t xml:space="preserve"> effects are the predominant concern and are discussed further below.</w:t>
      </w:r>
      <w:r w:rsidR="008C01AA" w:rsidRPr="008C01AA">
        <w:t xml:space="preserve"> </w:t>
      </w:r>
      <w:r w:rsidR="00A217A1">
        <w:t xml:space="preserve">On an acute exposure basis, </w:t>
      </w:r>
      <w:r>
        <w:t>a</w:t>
      </w:r>
      <w:r w:rsidRPr="00873483">
        <w:t>trazine is moderately toxic to freshwater and estuarine/marine fish, highly toxic to freshwater aquatic invertebrates and very highly toxic to estuarine/marine aquatic invertebrates</w:t>
      </w:r>
      <w:r>
        <w:t>.</w:t>
      </w:r>
      <w:r w:rsidR="008C01AA">
        <w:t xml:space="preserve"> In both terrestrial and aquatic ani</w:t>
      </w:r>
      <w:r w:rsidR="008C01AA" w:rsidRPr="008C01AA">
        <w:t>mals,</w:t>
      </w:r>
      <w:r w:rsidR="00CA023E" w:rsidRPr="008C01AA">
        <w:t xml:space="preserve"> </w:t>
      </w:r>
      <w:r w:rsidR="005A7CEB">
        <w:t>atrazine</w:t>
      </w:r>
      <w:r w:rsidR="00B32F80" w:rsidRPr="008C01AA">
        <w:t xml:space="preserve"> demonstrate</w:t>
      </w:r>
      <w:r w:rsidR="008C01AA" w:rsidRPr="008C01AA">
        <w:t>s</w:t>
      </w:r>
      <w:r w:rsidR="00B32F80" w:rsidRPr="008C01AA">
        <w:t xml:space="preserve"> a variety of growth and reproductive effects at a range of </w:t>
      </w:r>
      <w:r w:rsidR="00A217A1">
        <w:t xml:space="preserve">chronic </w:t>
      </w:r>
      <w:r w:rsidR="00B32F80" w:rsidRPr="008C01AA">
        <w:t>exposure</w:t>
      </w:r>
      <w:r w:rsidR="00A217A1">
        <w:t xml:space="preserve"> </w:t>
      </w:r>
      <w:r w:rsidR="00B32F80" w:rsidRPr="008C01AA">
        <w:t xml:space="preserve">concentrations. </w:t>
      </w:r>
      <w:r w:rsidR="005A7CEB">
        <w:t>Atrazine</w:t>
      </w:r>
      <w:r w:rsidR="00550153" w:rsidRPr="008C01AA">
        <w:t xml:space="preserve"> has demonstrated adverse effects on </w:t>
      </w:r>
      <w:r w:rsidR="00675167" w:rsidRPr="008C01AA">
        <w:t xml:space="preserve">growth to </w:t>
      </w:r>
      <w:r w:rsidR="00550153" w:rsidRPr="008C01AA">
        <w:t>both vascular and non-vascular aquatic plants</w:t>
      </w:r>
      <w:r w:rsidR="00675167" w:rsidRPr="008C01AA">
        <w:t xml:space="preserve"> as well as terrestrial plants. </w:t>
      </w:r>
      <w:r w:rsidR="00092FF0" w:rsidRPr="008C01AA">
        <w:t xml:space="preserve">There are </w:t>
      </w:r>
      <w:r w:rsidR="00783B1B" w:rsidRPr="008C01AA">
        <w:t xml:space="preserve">reported ecological </w:t>
      </w:r>
      <w:r w:rsidR="00092FF0" w:rsidRPr="008C01AA">
        <w:t xml:space="preserve">incidents involving </w:t>
      </w:r>
      <w:r w:rsidR="005A7CEB">
        <w:t>atrazine</w:t>
      </w:r>
      <w:r w:rsidR="00092FF0" w:rsidRPr="008C01AA">
        <w:t xml:space="preserve"> use </w:t>
      </w:r>
      <w:r w:rsidR="003A6483" w:rsidRPr="008C01AA">
        <w:t>for</w:t>
      </w:r>
      <w:r w:rsidR="00092FF0" w:rsidRPr="008C01AA">
        <w:t xml:space="preserve"> birds, mammals, </w:t>
      </w:r>
      <w:r w:rsidR="008C01AA">
        <w:t xml:space="preserve">fish, </w:t>
      </w:r>
      <w:r w:rsidR="00092FF0" w:rsidRPr="008C01AA">
        <w:t>terrestrial invertebrates, and terrestria</w:t>
      </w:r>
      <w:r w:rsidR="008C01AA">
        <w:t>l</w:t>
      </w:r>
      <w:r w:rsidR="00092FF0" w:rsidRPr="008C01AA">
        <w:t xml:space="preserve"> plants</w:t>
      </w:r>
      <w:r w:rsidR="00A217A1">
        <w:t>. More details on the available toxicity data and incident reports are provided</w:t>
      </w:r>
      <w:r w:rsidR="00092FF0" w:rsidRPr="008C01AA">
        <w:t xml:space="preserve"> in </w:t>
      </w:r>
      <w:r w:rsidR="00092FF0" w:rsidRPr="008C01AA">
        <w:rPr>
          <w:b/>
          <w:bCs/>
        </w:rPr>
        <w:t>Chapter 2</w:t>
      </w:r>
      <w:r w:rsidR="00092FF0" w:rsidRPr="008C01AA">
        <w:t>.</w:t>
      </w:r>
    </w:p>
    <w:p w14:paraId="451D8CB4" w14:textId="01576B6E" w:rsidR="005721BD" w:rsidRDefault="005721BD" w:rsidP="0045224D">
      <w:pPr>
        <w:rPr>
          <w:rFonts w:ascii="Calibri" w:eastAsia="Calibri" w:hAnsi="Calibri" w:cs="Calibri"/>
          <w:color w:val="000000"/>
        </w:rPr>
      </w:pPr>
    </w:p>
    <w:p w14:paraId="11C10FAD" w14:textId="77777777" w:rsidR="00F73E56" w:rsidRPr="0045224D" w:rsidRDefault="00F73E56" w:rsidP="0045224D">
      <w:pPr>
        <w:rPr>
          <w:rFonts w:ascii="Calibri" w:eastAsia="Calibri" w:hAnsi="Calibri" w:cs="Calibri"/>
          <w:color w:val="000000"/>
        </w:rPr>
      </w:pPr>
    </w:p>
    <w:p w14:paraId="48B45DA5" w14:textId="207019F9" w:rsidR="00E91586" w:rsidRPr="00033DB4" w:rsidRDefault="00E91586" w:rsidP="0098319A">
      <w:pPr>
        <w:pStyle w:val="Heading1"/>
      </w:pPr>
      <w:r w:rsidRPr="00033DB4">
        <w:t xml:space="preserve">Exposure </w:t>
      </w:r>
      <w:r w:rsidR="00033DB4">
        <w:t>Methods</w:t>
      </w:r>
    </w:p>
    <w:p w14:paraId="54ABB624" w14:textId="77777777" w:rsidR="00E91586" w:rsidRPr="00507E9A" w:rsidRDefault="00E91586" w:rsidP="0045224D"/>
    <w:p w14:paraId="4938168C" w14:textId="55DB345F" w:rsidR="00C633D9" w:rsidRDefault="004D0F93" w:rsidP="0045224D">
      <w:r w:rsidRPr="00994F37">
        <w:t xml:space="preserve">Exposure </w:t>
      </w:r>
      <w:r w:rsidR="00607C24" w:rsidRPr="00994F37">
        <w:t xml:space="preserve">estimates </w:t>
      </w:r>
      <w:r w:rsidRPr="00994F37">
        <w:t xml:space="preserve">are based primarily on fate and transport model results. </w:t>
      </w:r>
      <w:r w:rsidR="00525490" w:rsidRPr="00994F37">
        <w:rPr>
          <w:rFonts w:cs="Times New Roman"/>
        </w:rPr>
        <w:t xml:space="preserve">Aquatic exposures (surface water and benthic sediment pore water) are quantitatively estimated for representative </w:t>
      </w:r>
      <w:r w:rsidR="005A7CEB">
        <w:rPr>
          <w:rFonts w:cs="Times New Roman"/>
        </w:rPr>
        <w:t>atrazine</w:t>
      </w:r>
      <w:r w:rsidR="00525490" w:rsidRPr="00994F37">
        <w:rPr>
          <w:rFonts w:cs="Times New Roman"/>
        </w:rPr>
        <w:t xml:space="preserve"> uses in specific geographic regions within generic habitats (referred to as bins) using the </w:t>
      </w:r>
      <w:r w:rsidR="00525490" w:rsidRPr="00994F37">
        <w:t xml:space="preserve">Pesticide Root Zone </w:t>
      </w:r>
      <w:r w:rsidR="00525490" w:rsidRPr="00994F37">
        <w:lastRenderedPageBreak/>
        <w:t>Model (PRZM5) and the Variable Volume Water Model (VVWM)</w:t>
      </w:r>
      <w:r w:rsidR="00525490" w:rsidRPr="00994F37">
        <w:rPr>
          <w:rStyle w:val="FootnoteReference"/>
        </w:rPr>
        <w:footnoteReference w:id="3"/>
      </w:r>
      <w:r w:rsidR="00525490" w:rsidRPr="00994F37">
        <w:t xml:space="preserve"> in the Pesticides in Water Calculator (PWC). Aquatic exposure results for the bin(s) most appropriate for the species and/or critical habitat </w:t>
      </w:r>
      <w:r w:rsidR="00607C24" w:rsidRPr="00994F37">
        <w:t xml:space="preserve">are discussed in </w:t>
      </w:r>
      <w:r w:rsidR="00525490" w:rsidRPr="00994F37">
        <w:rPr>
          <w:b/>
        </w:rPr>
        <w:t>Chapter 3</w:t>
      </w:r>
      <w:r w:rsidR="00525490" w:rsidRPr="00994F37">
        <w:t>. </w:t>
      </w:r>
      <w:r w:rsidR="00F53333" w:rsidRPr="00994F37">
        <w:t xml:space="preserve">Also discussed in </w:t>
      </w:r>
      <w:r w:rsidR="00F53333" w:rsidRPr="00994F37">
        <w:rPr>
          <w:b/>
          <w:bCs/>
        </w:rPr>
        <w:t>Chapter 3</w:t>
      </w:r>
      <w:r w:rsidR="00F53333" w:rsidRPr="00994F37">
        <w:t xml:space="preserve"> are available water monitoring data for </w:t>
      </w:r>
      <w:r w:rsidR="005A7CEB">
        <w:t>atrazine</w:t>
      </w:r>
      <w:r w:rsidR="00F53333" w:rsidRPr="00994F37">
        <w:t xml:space="preserve">. </w:t>
      </w:r>
      <w:r w:rsidR="00303775" w:rsidRPr="00994F37">
        <w:t>For terrestrial exposures, existing models [</w:t>
      </w:r>
      <w:r w:rsidR="008204F8">
        <w:rPr>
          <w:i/>
        </w:rPr>
        <w:t>i.e.</w:t>
      </w:r>
      <w:r w:rsidR="00303775" w:rsidRPr="00994F37">
        <w:t>, AgDRIFT, earthworm fugacity model, Terrestrial Herpetofaunal Exposure Residue Program Simulation (T-HERPS), Terrestrial Residue Exposure model (T-REX) and portions of the Terrestrial Investigation Model (TIM)] were combined and modified into a single tool that is referred to as the MAGTool (</w:t>
      </w:r>
      <w:r w:rsidR="00303775" w:rsidRPr="00994F37">
        <w:rPr>
          <w:b/>
        </w:rPr>
        <w:t>Chapter 4</w:t>
      </w:r>
      <w:r w:rsidR="00303775" w:rsidRPr="00994F37">
        <w:t>).</w:t>
      </w:r>
      <w:r w:rsidR="00303775" w:rsidRPr="000C6A3E">
        <w:t xml:space="preserve"> </w:t>
      </w:r>
      <w:r w:rsidR="00C932E3">
        <w:t>This assessment replaces EPA’s TerrPlant model with the Plant Assessment Tool (PAT), the latter is a more refined exposure model for terrestrial, wetland and aquatic plants.</w:t>
      </w:r>
    </w:p>
    <w:p w14:paraId="6C08764A" w14:textId="36831E3A" w:rsidR="00DC04D5" w:rsidRDefault="00DC04D5" w:rsidP="0045224D"/>
    <w:p w14:paraId="5F2B7182" w14:textId="77777777" w:rsidR="00F73E56" w:rsidRDefault="00F73E56" w:rsidP="0045224D"/>
    <w:p w14:paraId="04280AA5" w14:textId="312B87B5" w:rsidR="00CF1313" w:rsidRDefault="00033DB4" w:rsidP="0098319A">
      <w:pPr>
        <w:pStyle w:val="Heading1"/>
      </w:pPr>
      <w:r w:rsidRPr="00F84F72">
        <w:t>O</w:t>
      </w:r>
      <w:r w:rsidR="00C633D9" w:rsidRPr="00F84F72">
        <w:t xml:space="preserve">verlap </w:t>
      </w:r>
      <w:r w:rsidRPr="00F84F72">
        <w:t>A</w:t>
      </w:r>
      <w:r w:rsidR="00C633D9" w:rsidRPr="00F84F72">
        <w:t>nalys</w:t>
      </w:r>
      <w:r w:rsidRPr="00F84F72">
        <w:t>e</w:t>
      </w:r>
      <w:r w:rsidR="00C633D9" w:rsidRPr="00F84F72">
        <w:t>s</w:t>
      </w:r>
    </w:p>
    <w:p w14:paraId="5ABFACB4" w14:textId="77777777" w:rsidR="00607C24" w:rsidRDefault="00607C24"/>
    <w:p w14:paraId="51738D4B" w14:textId="4300FD89" w:rsidR="007667F0" w:rsidRDefault="007667F0">
      <w:r w:rsidRPr="000C6A3E">
        <w:t xml:space="preserve">Step 1 of the </w:t>
      </w:r>
      <w:r w:rsidR="00A70773">
        <w:t>BE</w:t>
      </w:r>
      <w:r w:rsidRPr="000C6A3E">
        <w:t xml:space="preserve"> </w:t>
      </w:r>
      <w:r w:rsidR="00C340DE">
        <w:t>involves</w:t>
      </w:r>
      <w:r w:rsidRPr="000C6A3E">
        <w:t xml:space="preserve"> an analysis of the potential overlap of the action area and individual species ranges </w:t>
      </w:r>
      <w:r w:rsidR="00F02672">
        <w:t>and</w:t>
      </w:r>
      <w:r w:rsidR="00F02672" w:rsidRPr="000C6A3E">
        <w:t xml:space="preserve"> </w:t>
      </w:r>
      <w:r w:rsidRPr="000C6A3E">
        <w:t xml:space="preserve">critical habitat. The action area was derived in ArcGIS 10.7 by combining the data layers representative of </w:t>
      </w:r>
      <w:r w:rsidR="005A7CEB">
        <w:t>atrazine</w:t>
      </w:r>
      <w:r w:rsidRPr="000C6A3E">
        <w:t xml:space="preserve"> uses and then buffering them out to the off-site transport distance estimated using the AgDRIFT model (</w:t>
      </w:r>
      <w:r w:rsidRPr="00BE2F82">
        <w:rPr>
          <w:b/>
        </w:rPr>
        <w:t>A</w:t>
      </w:r>
      <w:r w:rsidR="00ED0D37">
        <w:rPr>
          <w:b/>
        </w:rPr>
        <w:t>PPENDIX</w:t>
      </w:r>
      <w:r w:rsidRPr="00BE2F82">
        <w:rPr>
          <w:b/>
        </w:rPr>
        <w:t xml:space="preserve"> 1-6</w:t>
      </w:r>
      <w:r w:rsidRPr="000C6A3E">
        <w:t>). The overlaps of action area and individual species</w:t>
      </w:r>
      <w:r w:rsidR="002C5413">
        <w:t>’</w:t>
      </w:r>
      <w:r w:rsidRPr="000C6A3E">
        <w:t xml:space="preserve"> ranges or critical habitats were calculated. This analysis used spatial data of species’ ranges and</w:t>
      </w:r>
      <w:r w:rsidR="009752ED">
        <w:t xml:space="preserve"> critical</w:t>
      </w:r>
      <w:r w:rsidRPr="000C6A3E">
        <w:t xml:space="preserve"> habitats from the</w:t>
      </w:r>
      <w:bookmarkStart w:id="2" w:name="_Hlk52780445"/>
      <w:r w:rsidRPr="000C6A3E">
        <w:t xml:space="preserve"> FWS and NMFS</w:t>
      </w:r>
      <w:bookmarkEnd w:id="2"/>
      <w:r w:rsidRPr="000C6A3E">
        <w:t>. In the contiguous United States</w:t>
      </w:r>
      <w:r w:rsidR="00B04AA7">
        <w:t xml:space="preserve"> (ConUS)</w:t>
      </w:r>
      <w:r w:rsidRPr="000C6A3E">
        <w:t>, agricultural potential use sites are represented using the USDA Crop Data Layer (CDL) (</w:t>
      </w:r>
      <w:r w:rsidRPr="002F0ED3">
        <w:rPr>
          <w:b/>
        </w:rPr>
        <w:t>A</w:t>
      </w:r>
      <w:r w:rsidR="00ED0D37">
        <w:rPr>
          <w:b/>
        </w:rPr>
        <w:t>PPENDIX</w:t>
      </w:r>
      <w:r w:rsidRPr="002F0ED3">
        <w:rPr>
          <w:b/>
        </w:rPr>
        <w:t xml:space="preserve"> 1-5</w:t>
      </w:r>
      <w:r w:rsidRPr="000C6A3E">
        <w:t xml:space="preserve">). </w:t>
      </w:r>
      <w:r w:rsidR="00B04AA7">
        <w:t>Because the</w:t>
      </w:r>
      <w:r w:rsidR="009752ED">
        <w:t xml:space="preserve"> technical</w:t>
      </w:r>
      <w:r w:rsidR="00B04AA7">
        <w:t xml:space="preserve"> registrants of </w:t>
      </w:r>
      <w:r w:rsidR="005A7CEB">
        <w:t>atrazine</w:t>
      </w:r>
      <w:r w:rsidR="00B04AA7">
        <w:t xml:space="preserve"> have committed to limit use of </w:t>
      </w:r>
      <w:r w:rsidR="005A7CEB">
        <w:t>atrazine</w:t>
      </w:r>
      <w:r w:rsidR="00B04AA7">
        <w:t xml:space="preserve"> products to ConUS, spatial layers of use sites in AK, HI and the territories are not needed. </w:t>
      </w:r>
      <w:r w:rsidRPr="000C6A3E">
        <w:t>All species or critical habitats with some overlap of the action area and their range or designated critical habitat, or with some overlap on species that the listed species depends on (</w:t>
      </w:r>
      <w:r w:rsidRPr="000C6A3E">
        <w:rPr>
          <w:b/>
        </w:rPr>
        <w:t>Chapter 4</w:t>
      </w:r>
      <w:r w:rsidRPr="000C6A3E">
        <w:t xml:space="preserve">) </w:t>
      </w:r>
      <w:r w:rsidR="004B6CC4">
        <w:t>are</w:t>
      </w:r>
      <w:r w:rsidRPr="000C6A3E">
        <w:t xml:space="preserve"> assessed in the MAGTool to make LAA/NLAA determinations.</w:t>
      </w:r>
    </w:p>
    <w:p w14:paraId="3C6AFD12" w14:textId="20AE6B49" w:rsidR="00DC04D5" w:rsidRDefault="00DC04D5" w:rsidP="0098319A"/>
    <w:p w14:paraId="5E5687F0" w14:textId="77777777" w:rsidR="00F73E56" w:rsidRDefault="00F73E56" w:rsidP="0098319A"/>
    <w:p w14:paraId="54323EAA" w14:textId="40EA8A5F" w:rsidR="00C633D9" w:rsidRPr="00033DB4" w:rsidRDefault="00033DB4" w:rsidP="0098319A">
      <w:pPr>
        <w:pStyle w:val="Heading1"/>
      </w:pPr>
      <w:r>
        <w:t>Effects Determinations</w:t>
      </w:r>
    </w:p>
    <w:p w14:paraId="75E557F5" w14:textId="60E1B7B8" w:rsidR="00631002" w:rsidRDefault="00631002" w:rsidP="0045224D"/>
    <w:p w14:paraId="4F84B477" w14:textId="70E1EF76" w:rsidR="00631002" w:rsidRDefault="00631002" w:rsidP="00631002">
      <w:r>
        <w:t>This BE makes effects determinations (NE, NLAA or LAA) for</w:t>
      </w:r>
      <w:r w:rsidRPr="008F32E8">
        <w:t xml:space="preserve"> </w:t>
      </w:r>
      <w:r w:rsidRPr="007400FE">
        <w:t>17</w:t>
      </w:r>
      <w:r>
        <w:t>95</w:t>
      </w:r>
      <w:r w:rsidRPr="008F32E8">
        <w:t xml:space="preserve"> listed species, and </w:t>
      </w:r>
      <w:r w:rsidRPr="007400FE">
        <w:t>7</w:t>
      </w:r>
      <w:r>
        <w:t>92</w:t>
      </w:r>
      <w:r w:rsidRPr="008F32E8">
        <w:t xml:space="preserve"> designated</w:t>
      </w:r>
      <w:r>
        <w:t xml:space="preserve"> critical habitats. For each species and designated critical habitat, the effects determination is based on th</w:t>
      </w:r>
      <w:r w:rsidRPr="000C2F82">
        <w:t>e methodology detailed in Chapter 1 and the Revised Method document</w:t>
      </w:r>
      <w:r w:rsidRPr="000C2F82">
        <w:rPr>
          <w:rStyle w:val="FootnoteReference"/>
        </w:rPr>
        <w:footnoteReference w:id="4"/>
      </w:r>
      <w:r w:rsidRPr="000C2F82">
        <w:t xml:space="preserve">. </w:t>
      </w:r>
      <w:r>
        <w:t xml:space="preserve">NE determinations were made for </w:t>
      </w:r>
      <w:r>
        <w:rPr>
          <w:rFonts w:cstheme="minorHAnsi"/>
        </w:rPr>
        <w:t>67</w:t>
      </w:r>
      <w:r w:rsidR="005D69A2">
        <w:rPr>
          <w:rFonts w:cstheme="minorHAnsi"/>
        </w:rPr>
        <w:t>6</w:t>
      </w:r>
      <w:r w:rsidRPr="006B648C">
        <w:rPr>
          <w:rFonts w:cstheme="minorHAnsi"/>
          <w:sz w:val="20"/>
        </w:rPr>
        <w:t xml:space="preserve"> </w:t>
      </w:r>
      <w:r w:rsidRPr="006B648C">
        <w:t xml:space="preserve">species and </w:t>
      </w:r>
      <w:r>
        <w:t>4</w:t>
      </w:r>
      <w:r w:rsidR="005D69A2">
        <w:t>12</w:t>
      </w:r>
      <w:r w:rsidRPr="006B648C">
        <w:t xml:space="preserve"> critical habitats </w:t>
      </w:r>
      <w:r>
        <w:t xml:space="preserve">because there was </w:t>
      </w:r>
      <w:r w:rsidRPr="000C2F82">
        <w:t>no overlap</w:t>
      </w:r>
      <w:r w:rsidRPr="000C6A3E">
        <w:t xml:space="preserve"> </w:t>
      </w:r>
      <w:r>
        <w:t>between the</w:t>
      </w:r>
      <w:r w:rsidRPr="000C6A3E">
        <w:t xml:space="preserve"> species</w:t>
      </w:r>
      <w:r>
        <w:t xml:space="preserve"> range/critical habitat and </w:t>
      </w:r>
      <w:r w:rsidRPr="000C6A3E">
        <w:t>the action area</w:t>
      </w:r>
      <w:r>
        <w:t xml:space="preserve">. Many of the </w:t>
      </w:r>
      <w:r w:rsidRPr="000C6A3E">
        <w:t xml:space="preserve">NE determinations </w:t>
      </w:r>
      <w:r>
        <w:t>we</w:t>
      </w:r>
      <w:r w:rsidRPr="000C6A3E">
        <w:t>re made</w:t>
      </w:r>
      <w:r>
        <w:t xml:space="preserve"> for species that only inhabit areas outside of ConUS (</w:t>
      </w:r>
      <w:r w:rsidRPr="000D7D0E">
        <w:rPr>
          <w:i/>
          <w:iCs/>
        </w:rPr>
        <w:t>e.g.</w:t>
      </w:r>
      <w:r>
        <w:t>, H</w:t>
      </w:r>
      <w:r w:rsidR="000D7D0E">
        <w:t>awaii</w:t>
      </w:r>
      <w:r>
        <w:t xml:space="preserve">). These NE determinations were based on the exclusion of </w:t>
      </w:r>
      <w:r w:rsidRPr="000C6A3E">
        <w:t xml:space="preserve">states and US territories outside of the </w:t>
      </w:r>
      <w:r>
        <w:t xml:space="preserve">ConUS based on commitment letters provided by the </w:t>
      </w:r>
      <w:r w:rsidR="009752ED">
        <w:t xml:space="preserve">technical </w:t>
      </w:r>
      <w:r>
        <w:t>registrant</w:t>
      </w:r>
      <w:r w:rsidR="00F73E56">
        <w:t>s</w:t>
      </w:r>
      <w:r>
        <w:t xml:space="preserve"> (</w:t>
      </w:r>
      <w:r w:rsidRPr="000C2F82">
        <w:rPr>
          <w:b/>
          <w:bCs/>
        </w:rPr>
        <w:t>APPENDIX 1-</w:t>
      </w:r>
      <w:r w:rsidR="00873483">
        <w:rPr>
          <w:b/>
          <w:bCs/>
        </w:rPr>
        <w:t>2</w:t>
      </w:r>
      <w:r>
        <w:t>)</w:t>
      </w:r>
      <w:r w:rsidRPr="000C6A3E">
        <w:t xml:space="preserve">. </w:t>
      </w:r>
      <w:r w:rsidRPr="000C2F82">
        <w:t xml:space="preserve">MA determinations were made </w:t>
      </w:r>
      <w:r w:rsidR="007B09BC" w:rsidRPr="006B648C">
        <w:t xml:space="preserve">for </w:t>
      </w:r>
      <w:r w:rsidR="007B09BC" w:rsidRPr="006B648C">
        <w:rPr>
          <w:rFonts w:cstheme="minorHAnsi"/>
        </w:rPr>
        <w:t>11</w:t>
      </w:r>
      <w:r w:rsidR="005D69A2">
        <w:rPr>
          <w:rFonts w:cstheme="minorHAnsi"/>
        </w:rPr>
        <w:t>19</w:t>
      </w:r>
      <w:r w:rsidR="007B09BC" w:rsidRPr="006B648C">
        <w:rPr>
          <w:rFonts w:cstheme="minorHAnsi"/>
          <w:sz w:val="20"/>
        </w:rPr>
        <w:t xml:space="preserve"> </w:t>
      </w:r>
      <w:r w:rsidR="007B09BC" w:rsidRPr="006B648C">
        <w:t>species and 3</w:t>
      </w:r>
      <w:r w:rsidR="005D69A2">
        <w:t>80</w:t>
      </w:r>
      <w:r w:rsidR="007B09BC" w:rsidRPr="006B648C">
        <w:t xml:space="preserve"> critical habitats</w:t>
      </w:r>
      <w:r w:rsidRPr="000C2F82">
        <w:t xml:space="preserve">. All species and critical habitats with a MA determination progressed to the Step 2 analysis where an NLAA or LAA determination is made. </w:t>
      </w:r>
      <w:r w:rsidR="007B09BC" w:rsidRPr="00CB56A0">
        <w:rPr>
          <w:rFonts w:eastAsia="Calibri" w:cs="Calibri"/>
        </w:rPr>
        <w:t>NLAA determination</w:t>
      </w:r>
      <w:r w:rsidR="007B09BC">
        <w:rPr>
          <w:rFonts w:eastAsia="Calibri" w:cs="Calibri"/>
        </w:rPr>
        <w:t>s</w:t>
      </w:r>
      <w:r w:rsidR="007B09BC" w:rsidRPr="00CB56A0">
        <w:rPr>
          <w:rFonts w:eastAsia="Calibri" w:cs="Calibri"/>
        </w:rPr>
        <w:t xml:space="preserve"> w</w:t>
      </w:r>
      <w:r w:rsidR="007B09BC">
        <w:rPr>
          <w:rFonts w:eastAsia="Calibri" w:cs="Calibri"/>
        </w:rPr>
        <w:t>ere</w:t>
      </w:r>
      <w:r w:rsidR="007B09BC" w:rsidRPr="00CB56A0">
        <w:rPr>
          <w:rFonts w:eastAsia="Calibri" w:cs="Calibri"/>
        </w:rPr>
        <w:t xml:space="preserve"> made for </w:t>
      </w:r>
      <w:r w:rsidR="007B09BC">
        <w:rPr>
          <w:rFonts w:eastAsia="Calibri" w:cs="Calibri"/>
        </w:rPr>
        <w:t>1</w:t>
      </w:r>
      <w:r w:rsidR="005D69A2">
        <w:rPr>
          <w:rFonts w:eastAsia="Calibri" w:cs="Calibri"/>
        </w:rPr>
        <w:t>06</w:t>
      </w:r>
      <w:r w:rsidR="007B09BC" w:rsidRPr="00CB56A0">
        <w:rPr>
          <w:rFonts w:eastAsia="Calibri" w:cs="Calibri"/>
        </w:rPr>
        <w:t xml:space="preserve"> species and </w:t>
      </w:r>
      <w:r w:rsidR="005D69A2">
        <w:rPr>
          <w:rFonts w:eastAsia="Calibri" w:cs="Calibri"/>
        </w:rPr>
        <w:t>52</w:t>
      </w:r>
      <w:r w:rsidR="007B09BC" w:rsidRPr="00CB56A0">
        <w:rPr>
          <w:rFonts w:eastAsia="Calibri" w:cs="Calibri"/>
        </w:rPr>
        <w:t xml:space="preserve"> species’ critical habitat and LAA determination</w:t>
      </w:r>
      <w:r w:rsidR="007B09BC">
        <w:rPr>
          <w:rFonts w:eastAsia="Calibri" w:cs="Calibri"/>
        </w:rPr>
        <w:t>s</w:t>
      </w:r>
      <w:r w:rsidR="007B09BC" w:rsidRPr="00CB56A0">
        <w:rPr>
          <w:rFonts w:eastAsia="Calibri" w:cs="Calibri"/>
        </w:rPr>
        <w:t xml:space="preserve"> w</w:t>
      </w:r>
      <w:r w:rsidR="007B09BC">
        <w:rPr>
          <w:rFonts w:eastAsia="Calibri" w:cs="Calibri"/>
        </w:rPr>
        <w:t>ere</w:t>
      </w:r>
      <w:r w:rsidR="007B09BC" w:rsidRPr="00CB56A0">
        <w:rPr>
          <w:rFonts w:eastAsia="Calibri" w:cs="Calibri"/>
        </w:rPr>
        <w:t xml:space="preserve"> made for </w:t>
      </w:r>
      <w:r w:rsidR="005D69A2">
        <w:rPr>
          <w:rFonts w:eastAsia="Calibri" w:cs="Calibri"/>
        </w:rPr>
        <w:t>1013</w:t>
      </w:r>
      <w:r w:rsidR="007B09BC" w:rsidRPr="00CB56A0">
        <w:rPr>
          <w:rFonts w:eastAsia="Calibri" w:cs="Calibri"/>
        </w:rPr>
        <w:t xml:space="preserve"> species and 3</w:t>
      </w:r>
      <w:r w:rsidR="005D69A2">
        <w:rPr>
          <w:rFonts w:eastAsia="Calibri" w:cs="Calibri"/>
        </w:rPr>
        <w:t>28</w:t>
      </w:r>
      <w:r w:rsidR="007B09BC" w:rsidRPr="00CB56A0">
        <w:rPr>
          <w:rFonts w:eastAsia="Calibri" w:cs="Calibri"/>
        </w:rPr>
        <w:t xml:space="preserve"> critical habitats</w:t>
      </w:r>
      <w:r w:rsidR="007B09BC">
        <w:rPr>
          <w:rFonts w:eastAsia="Calibri" w:cs="Calibri"/>
        </w:rPr>
        <w:t>.</w:t>
      </w:r>
      <w:r>
        <w:t xml:space="preserve"> </w:t>
      </w:r>
      <w:r w:rsidRPr="000C2F82">
        <w:t xml:space="preserve">Specific species determinations are provided in </w:t>
      </w:r>
      <w:r w:rsidRPr="000C2F82">
        <w:rPr>
          <w:b/>
          <w:bCs/>
        </w:rPr>
        <w:t>APPENDIX 4-1.</w:t>
      </w:r>
    </w:p>
    <w:p w14:paraId="3BBFFE1F" w14:textId="77777777" w:rsidR="00631002" w:rsidRDefault="00631002" w:rsidP="0045224D"/>
    <w:p w14:paraId="448F0C00" w14:textId="6E3C9718" w:rsidR="00DC04D5" w:rsidRDefault="00310F57" w:rsidP="00310F57">
      <w:r w:rsidRPr="000C6A3E">
        <w:t xml:space="preserve">The MAGTool </w:t>
      </w:r>
      <w:r w:rsidR="00BE2F82">
        <w:t xml:space="preserve">estimates the number of individuals of a listed species that are potentially affected, incorporating the degree of overlap of a species range with potential use sites and associated usage data </w:t>
      </w:r>
      <w:r w:rsidR="00BE2F82">
        <w:lastRenderedPageBreak/>
        <w:t>for a chemical (and associated of</w:t>
      </w:r>
      <w:r w:rsidR="00D10797">
        <w:t>f-</w:t>
      </w:r>
      <w:r w:rsidR="00BE2F82">
        <w:t>site transport areas) into the effects determinations.</w:t>
      </w:r>
      <w:r w:rsidRPr="000C6A3E">
        <w:t xml:space="preserve"> Using the toxicity endpoints for each </w:t>
      </w:r>
      <w:r w:rsidR="00D10797" w:rsidRPr="000C6A3E">
        <w:t>tax</w:t>
      </w:r>
      <w:r w:rsidR="00D10797">
        <w:t>on</w:t>
      </w:r>
      <w:r w:rsidR="00D10797" w:rsidRPr="000C6A3E">
        <w:t xml:space="preserve"> </w:t>
      </w:r>
      <w:r w:rsidRPr="000C6A3E">
        <w:t>(</w:t>
      </w:r>
      <w:r w:rsidRPr="000C6A3E">
        <w:rPr>
          <w:b/>
        </w:rPr>
        <w:t>Chapter 2</w:t>
      </w:r>
      <w:r w:rsidRPr="000C6A3E">
        <w:t>),</w:t>
      </w:r>
      <w:r w:rsidR="00E53606">
        <w:t xml:space="preserve"> </w:t>
      </w:r>
      <w:bookmarkStart w:id="3" w:name="_Hlk52780777"/>
      <w:r w:rsidR="00E53606">
        <w:t>the</w:t>
      </w:r>
      <w:r w:rsidRPr="000C6A3E">
        <w:t xml:space="preserve"> MAGTool utilizes probabilistic methods </w:t>
      </w:r>
      <w:bookmarkStart w:id="4" w:name="_Hlk52780749"/>
      <w:r w:rsidRPr="000C6A3E">
        <w:t xml:space="preserve">to assess </w:t>
      </w:r>
      <w:r w:rsidR="003F3F19">
        <w:t xml:space="preserve">the impact of various assumptions of </w:t>
      </w:r>
      <w:bookmarkEnd w:id="4"/>
      <w:r w:rsidR="003F3F19">
        <w:t xml:space="preserve">toxicity and exposure on the likelihood that </w:t>
      </w:r>
      <w:r w:rsidR="005A7CEB">
        <w:t>atrazine</w:t>
      </w:r>
      <w:r w:rsidRPr="000C6A3E">
        <w:t xml:space="preserve"> will adversely affect </w:t>
      </w:r>
      <w:r w:rsidR="00BE2F82">
        <w:t>an individual of a given</w:t>
      </w:r>
      <w:r w:rsidR="00C340DE">
        <w:t xml:space="preserve"> </w:t>
      </w:r>
      <w:r w:rsidRPr="000C6A3E">
        <w:t>specie</w:t>
      </w:r>
      <w:bookmarkEnd w:id="3"/>
      <w:r w:rsidRPr="000C6A3E">
        <w:t xml:space="preserve">s. </w:t>
      </w:r>
      <w:r w:rsidR="00266071" w:rsidRPr="000C6A3E">
        <w:t>To help determine the potential for risk, the MAGtool incorporates many of E</w:t>
      </w:r>
      <w:r w:rsidR="00266071">
        <w:t>PA</w:t>
      </w:r>
      <w:r w:rsidR="00266071" w:rsidRPr="000C6A3E">
        <w:t xml:space="preserve">’s standard </w:t>
      </w:r>
      <w:r w:rsidR="00266071">
        <w:t xml:space="preserve">pesticide </w:t>
      </w:r>
      <w:r w:rsidR="00266071" w:rsidRPr="000C6A3E">
        <w:t>exposure models to estimate exposures to listed species and their</w:t>
      </w:r>
      <w:bookmarkStart w:id="5" w:name="_Hlk52780921"/>
      <w:r w:rsidR="00266071">
        <w:t xml:space="preserve"> </w:t>
      </w:r>
      <w:r w:rsidR="00331B2C">
        <w:t>prey, pollination, habitat and dispersal vectors (</w:t>
      </w:r>
      <w:bookmarkEnd w:id="5"/>
      <w:r w:rsidR="00266071" w:rsidRPr="000C6A3E">
        <w:t>PPHD</w:t>
      </w:r>
      <w:r w:rsidR="00331B2C">
        <w:t>)</w:t>
      </w:r>
      <w:r w:rsidR="00266071" w:rsidRPr="000C6A3E">
        <w:t xml:space="preserve">. </w:t>
      </w:r>
      <w:r w:rsidRPr="000C6A3E">
        <w:t xml:space="preserve"> Details on the individual effects determinations are found in </w:t>
      </w:r>
      <w:r w:rsidRPr="00BE2F82">
        <w:rPr>
          <w:b/>
        </w:rPr>
        <w:t>A</w:t>
      </w:r>
      <w:r w:rsidR="00ED0D37">
        <w:rPr>
          <w:b/>
        </w:rPr>
        <w:t>PPENDIX</w:t>
      </w:r>
      <w:r w:rsidRPr="00BE2F82">
        <w:rPr>
          <w:b/>
        </w:rPr>
        <w:t xml:space="preserve"> 4-</w:t>
      </w:r>
      <w:r w:rsidR="00AB7C89" w:rsidRPr="00AB7C89">
        <w:rPr>
          <w:b/>
        </w:rPr>
        <w:t>1</w:t>
      </w:r>
      <w:r w:rsidRPr="000C6A3E">
        <w:t xml:space="preserve">. </w:t>
      </w:r>
      <w:r w:rsidR="00266071" w:rsidRPr="000C6A3E">
        <w:t xml:space="preserve">If the model estimates are not considered representative of the exposure of the species (due to an inconsistency in the exposure model and assessed species’ habitat), a qualitative analysis </w:t>
      </w:r>
      <w:r w:rsidR="00266071">
        <w:t>is</w:t>
      </w:r>
      <w:r w:rsidR="00266071" w:rsidRPr="000C6A3E">
        <w:t xml:space="preserve"> conducted. In those cases, EPA make</w:t>
      </w:r>
      <w:r w:rsidR="00266071">
        <w:t>s</w:t>
      </w:r>
      <w:r w:rsidR="00266071" w:rsidRPr="000C6A3E">
        <w:t xml:space="preserve"> either a LAA or a NLAA determination based on a qualitative weight of evidence.</w:t>
      </w:r>
      <w:r w:rsidR="00266071">
        <w:t xml:space="preserve"> </w:t>
      </w:r>
      <w:r w:rsidR="00C85ED0">
        <w:t>For each LAA determination, t</w:t>
      </w:r>
      <w:r w:rsidRPr="000C6A3E">
        <w:t>his assessment employs three categories (</w:t>
      </w:r>
      <w:r w:rsidRPr="000C6A3E">
        <w:rPr>
          <w:i/>
        </w:rPr>
        <w:t>i.e.,</w:t>
      </w:r>
      <w:r w:rsidRPr="000C6A3E">
        <w:t xml:space="preserve"> strongest, moderate and weakest) to </w:t>
      </w:r>
      <w:r w:rsidR="00006AE3">
        <w:t>characterize</w:t>
      </w:r>
      <w:r w:rsidR="00006AE3" w:rsidRPr="000C6A3E">
        <w:t xml:space="preserve"> </w:t>
      </w:r>
      <w:r w:rsidRPr="000C6A3E">
        <w:t xml:space="preserve">the </w:t>
      </w:r>
      <w:r w:rsidR="00C85ED0">
        <w:t>strength</w:t>
      </w:r>
      <w:r w:rsidR="00C85ED0" w:rsidRPr="000C6A3E">
        <w:t xml:space="preserve"> </w:t>
      </w:r>
      <w:r w:rsidR="00C85ED0">
        <w:t>of</w:t>
      </w:r>
      <w:r w:rsidRPr="000C6A3E">
        <w:t xml:space="preserve"> the weight of evidence. </w:t>
      </w:r>
      <w:r w:rsidR="00FD644E">
        <w:t>E</w:t>
      </w:r>
      <w:r w:rsidR="00FD644E" w:rsidRPr="00FD644E">
        <w:t xml:space="preserve">ach species or critical habitat was assigned a weak, moderate or strong evidence in the LAA determination based on multiple factors, including: the impact of using less conservative assumptions in the analysis, the quality of the species range or usage data, impacts to both the species and </w:t>
      </w:r>
      <w:r w:rsidR="00FD644E">
        <w:t>prey, pollination, habitat, and dispersal</w:t>
      </w:r>
      <w:r w:rsidR="00FD644E" w:rsidRPr="00FD644E">
        <w:t xml:space="preserve"> </w:t>
      </w:r>
      <w:r w:rsidR="00FD644E">
        <w:t>(</w:t>
      </w:r>
      <w:r w:rsidR="00FD644E" w:rsidRPr="00FD644E">
        <w:t>PPHD</w:t>
      </w:r>
      <w:r w:rsidR="00FD644E">
        <w:t>)</w:t>
      </w:r>
      <w:r w:rsidR="00FD644E" w:rsidRPr="00FD644E">
        <w:t xml:space="preserve"> as opposed to only one, the presence of reported incidents involving the species taxa or PPHD taxa, the presence of monitoring data that exceeds endpoints, exposure only due to spray drift and the likelihood of drift into a species habitat (e.g., if the species inhabits forests). </w:t>
      </w:r>
    </w:p>
    <w:p w14:paraId="1134CF2E" w14:textId="1ECC4D55" w:rsidR="007655CF" w:rsidRPr="007B79A6" w:rsidRDefault="006E289F" w:rsidP="0090266C">
      <w:r w:rsidRPr="00DC04D5">
        <w:t xml:space="preserve"> </w:t>
      </w:r>
      <w:r w:rsidR="003873C0" w:rsidRPr="00DC04D5">
        <w:t xml:space="preserve"> </w:t>
      </w:r>
    </w:p>
    <w:p w14:paraId="2E81FB16" w14:textId="7E92B233" w:rsidR="00FA3E72" w:rsidRDefault="000C2F82" w:rsidP="00FA3E72">
      <w:r w:rsidRPr="000C2F82">
        <w:t xml:space="preserve">Of the LAA determinations, </w:t>
      </w:r>
      <w:r w:rsidR="00631002">
        <w:t>the majority (</w:t>
      </w:r>
      <w:r w:rsidR="007B09BC">
        <w:t>7</w:t>
      </w:r>
      <w:r w:rsidR="005D69A2">
        <w:t>1</w:t>
      </w:r>
      <w:r w:rsidRPr="000C2F82">
        <w:t xml:space="preserve">% </w:t>
      </w:r>
      <w:r w:rsidR="00631002">
        <w:t>of species and 7</w:t>
      </w:r>
      <w:r w:rsidR="005D69A2">
        <w:t>7</w:t>
      </w:r>
      <w:r w:rsidR="00631002">
        <w:t>% of critical habitats)</w:t>
      </w:r>
      <w:r w:rsidRPr="000C2F82">
        <w:t xml:space="preserve"> were considered to have moderate evidence</w:t>
      </w:r>
      <w:r w:rsidR="003177C9">
        <w:t xml:space="preserve">. Strongest evidence was found for </w:t>
      </w:r>
      <w:r w:rsidR="003F5EC7">
        <w:t>2</w:t>
      </w:r>
      <w:r w:rsidR="005D69A2">
        <w:t>5</w:t>
      </w:r>
      <w:r w:rsidR="003177C9">
        <w:t>% of species and 1</w:t>
      </w:r>
      <w:r w:rsidR="005D69A2">
        <w:t>8</w:t>
      </w:r>
      <w:r w:rsidR="003177C9">
        <w:t>% of critical habitat LAA determinations.</w:t>
      </w:r>
      <w:r w:rsidRPr="000C2F82">
        <w:t xml:space="preserve"> </w:t>
      </w:r>
      <w:r w:rsidR="003177C9">
        <w:t>Weakest evidence was found for</w:t>
      </w:r>
      <w:r w:rsidR="003177C9" w:rsidRPr="000C2F82">
        <w:t xml:space="preserve"> </w:t>
      </w:r>
      <w:r w:rsidR="003F5EC7">
        <w:t>4</w:t>
      </w:r>
      <w:r w:rsidRPr="000C2F82">
        <w:t xml:space="preserve">% </w:t>
      </w:r>
      <w:r w:rsidR="003177C9">
        <w:t xml:space="preserve">of species and </w:t>
      </w:r>
      <w:r w:rsidR="003F5EC7">
        <w:t>5</w:t>
      </w:r>
      <w:r w:rsidR="003177C9">
        <w:t>% of critical habitat LAA determinations.</w:t>
      </w:r>
      <w:r w:rsidRPr="000C2F82">
        <w:t xml:space="preserve"> Developed, Open Space Developed</w:t>
      </w:r>
      <w:r w:rsidR="003F5EC7">
        <w:t>, Other Crops</w:t>
      </w:r>
      <w:r w:rsidRPr="000C2F82">
        <w:t xml:space="preserve"> </w:t>
      </w:r>
      <w:r w:rsidR="003F5EC7">
        <w:t xml:space="preserve">(representing use on turf sod farms) </w:t>
      </w:r>
      <w:r w:rsidRPr="000C2F82">
        <w:t>and Corn UDLs, were the use sites most frequently associated with impacts to species or critical habitats with LAA determinations.</w:t>
      </w:r>
      <w:r w:rsidR="00631002">
        <w:t xml:space="preserve"> </w:t>
      </w:r>
      <w:r w:rsidR="00C85ED0" w:rsidRPr="000C2F82">
        <w:t>LAA determinations were made for species across all taxa.</w:t>
      </w:r>
      <w:r w:rsidR="00743F08" w:rsidRPr="000C2F82">
        <w:rPr>
          <w:i/>
          <w:iCs/>
        </w:rPr>
        <w:t xml:space="preserve"> </w:t>
      </w:r>
      <w:r w:rsidR="00743F08" w:rsidRPr="000C2F82">
        <w:t>For</w:t>
      </w:r>
      <w:r w:rsidR="00743F08" w:rsidRPr="00690822">
        <w:t xml:space="preserve"> certain species and critical habitats, there were uncertainties in the </w:t>
      </w:r>
      <w:r w:rsidR="005A7CEB">
        <w:t>atrazine</w:t>
      </w:r>
      <w:r w:rsidR="002C401D" w:rsidRPr="00690822">
        <w:t xml:space="preserve"> </w:t>
      </w:r>
      <w:r w:rsidR="00743F08" w:rsidRPr="00690822">
        <w:t xml:space="preserve">effects determinations based on the resolution of spatial data, resolution of usage data, and the threshold for assessing impacts on PPHD (detailed in </w:t>
      </w:r>
      <w:r w:rsidR="00743F08" w:rsidRPr="00690822">
        <w:rPr>
          <w:b/>
          <w:bCs/>
        </w:rPr>
        <w:t>Chapter 4</w:t>
      </w:r>
      <w:r w:rsidR="00743F08" w:rsidRPr="00AC59BB">
        <w:t>).</w:t>
      </w:r>
      <w:r w:rsidR="00743F08" w:rsidRPr="00AC59BB">
        <w:rPr>
          <w:i/>
          <w:iCs/>
        </w:rPr>
        <w:t xml:space="preserve"> </w:t>
      </w:r>
      <w:r w:rsidR="00C85ED0" w:rsidRPr="00AC59BB">
        <w:t xml:space="preserve">Tables </w:t>
      </w:r>
      <w:r w:rsidR="009A5892" w:rsidRPr="00AC59BB">
        <w:t>1 and</w:t>
      </w:r>
      <w:r w:rsidR="007E6AE0" w:rsidRPr="00AC59BB">
        <w:t xml:space="preserve"> 2</w:t>
      </w:r>
      <w:r w:rsidR="007E6AE0">
        <w:rPr>
          <w:b/>
          <w:bCs/>
        </w:rPr>
        <w:t xml:space="preserve"> </w:t>
      </w:r>
      <w:r w:rsidR="00C85ED0" w:rsidRPr="007400FE">
        <w:t>summarize the NE, NLAA and LAA determinations for species and critical habitats</w:t>
      </w:r>
      <w:r w:rsidR="00C85ED0" w:rsidRPr="00AC59BB">
        <w:t>.</w:t>
      </w:r>
      <w:r w:rsidR="00D1256E" w:rsidRPr="00AC59BB">
        <w:t xml:space="preserve"> Table 3</w:t>
      </w:r>
      <w:r w:rsidR="00D1256E">
        <w:t xml:space="preserve"> summarizes the </w:t>
      </w:r>
      <w:r w:rsidR="00F06B22">
        <w:t>strength of evidence classifications for the</w:t>
      </w:r>
      <w:r w:rsidR="00D1256E">
        <w:t xml:space="preserve"> LAA determinations</w:t>
      </w:r>
      <w:r w:rsidR="00F06B22">
        <w:t>.</w:t>
      </w:r>
    </w:p>
    <w:p w14:paraId="30A967AC" w14:textId="77777777" w:rsidR="003F5EC7" w:rsidRDefault="003F5EC7" w:rsidP="00FA3E72"/>
    <w:p w14:paraId="7182A354" w14:textId="1D42F0AF" w:rsidR="00B408AC" w:rsidRPr="000903AD" w:rsidRDefault="00B408AC" w:rsidP="00B408AC">
      <w:pPr>
        <w:keepNext/>
        <w:rPr>
          <w:b/>
        </w:rPr>
      </w:pPr>
      <w:r w:rsidRPr="000903AD">
        <w:rPr>
          <w:b/>
        </w:rPr>
        <w:t>T</w:t>
      </w:r>
      <w:r>
        <w:rPr>
          <w:b/>
        </w:rPr>
        <w:t>able</w:t>
      </w:r>
      <w:r w:rsidRPr="000903AD">
        <w:rPr>
          <w:b/>
        </w:rPr>
        <w:t xml:space="preserve"> </w:t>
      </w:r>
      <w:r>
        <w:rPr>
          <w:b/>
        </w:rPr>
        <w:t>1</w:t>
      </w:r>
      <w:r w:rsidRPr="000903AD">
        <w:rPr>
          <w:b/>
        </w:rPr>
        <w:t xml:space="preserve">. Summary of Species Effects Determinations for </w:t>
      </w:r>
      <w:r w:rsidR="005A7CEB">
        <w:rPr>
          <w:b/>
        </w:rPr>
        <w:t>Atrazine</w:t>
      </w:r>
      <w:r w:rsidRPr="000903AD">
        <w:rPr>
          <w:b/>
        </w:rPr>
        <w:t xml:space="preserve"> (Counts by Taxon).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862"/>
        <w:gridCol w:w="1013"/>
        <w:gridCol w:w="2134"/>
        <w:gridCol w:w="2326"/>
        <w:gridCol w:w="744"/>
      </w:tblGrid>
      <w:tr w:rsidR="00B408AC" w:rsidRPr="008E3FA9" w14:paraId="1BEB081C" w14:textId="77777777" w:rsidTr="00655057">
        <w:trPr>
          <w:trHeight w:val="288"/>
        </w:trPr>
        <w:tc>
          <w:tcPr>
            <w:tcW w:w="1849" w:type="dxa"/>
            <w:vMerge w:val="restart"/>
            <w:shd w:val="clear" w:color="auto" w:fill="D9D9D9" w:themeFill="background1" w:themeFillShade="D9"/>
            <w:noWrap/>
            <w:vAlign w:val="center"/>
            <w:hideMark/>
          </w:tcPr>
          <w:p w14:paraId="3BC0C46D" w14:textId="77777777" w:rsidR="00B408AC" w:rsidRPr="008E3FA9" w:rsidRDefault="00B408AC" w:rsidP="00EB21F7">
            <w:pPr>
              <w:keepNext/>
              <w:jc w:val="center"/>
              <w:rPr>
                <w:rFonts w:ascii="Calibri" w:hAnsi="Calibri" w:cs="Calibri"/>
                <w:b/>
                <w:sz w:val="20"/>
                <w:szCs w:val="20"/>
              </w:rPr>
            </w:pPr>
            <w:r w:rsidRPr="008E3FA9">
              <w:rPr>
                <w:rFonts w:ascii="Calibri" w:hAnsi="Calibri" w:cs="Calibri"/>
                <w:b/>
                <w:sz w:val="20"/>
                <w:szCs w:val="20"/>
              </w:rPr>
              <w:t>Taxon</w:t>
            </w:r>
          </w:p>
        </w:tc>
        <w:tc>
          <w:tcPr>
            <w:tcW w:w="1875" w:type="dxa"/>
            <w:gridSpan w:val="2"/>
            <w:shd w:val="clear" w:color="auto" w:fill="D9D9D9" w:themeFill="background1" w:themeFillShade="D9"/>
            <w:vAlign w:val="center"/>
            <w:hideMark/>
          </w:tcPr>
          <w:p w14:paraId="6D3C6DA0" w14:textId="77777777" w:rsidR="00B408AC" w:rsidRPr="008E3FA9" w:rsidRDefault="00B408AC" w:rsidP="00EB21F7">
            <w:pPr>
              <w:keepNext/>
              <w:jc w:val="center"/>
              <w:rPr>
                <w:rFonts w:ascii="Calibri" w:hAnsi="Calibri" w:cs="Calibri"/>
                <w:b/>
                <w:sz w:val="20"/>
                <w:szCs w:val="20"/>
              </w:rPr>
            </w:pPr>
            <w:r w:rsidRPr="008E3FA9">
              <w:rPr>
                <w:rFonts w:ascii="Calibri" w:hAnsi="Calibri" w:cs="Calibri"/>
                <w:b/>
                <w:sz w:val="20"/>
                <w:szCs w:val="20"/>
              </w:rPr>
              <w:t>Step 1 Effects Determinations</w:t>
            </w:r>
          </w:p>
        </w:tc>
        <w:tc>
          <w:tcPr>
            <w:tcW w:w="4460" w:type="dxa"/>
            <w:gridSpan w:val="2"/>
            <w:shd w:val="clear" w:color="auto" w:fill="D9D9D9" w:themeFill="background1" w:themeFillShade="D9"/>
            <w:noWrap/>
            <w:vAlign w:val="center"/>
            <w:hideMark/>
          </w:tcPr>
          <w:p w14:paraId="42467FC5" w14:textId="77777777" w:rsidR="00B408AC" w:rsidRPr="008E3FA9" w:rsidRDefault="00B408AC" w:rsidP="00EB21F7">
            <w:pPr>
              <w:keepNext/>
              <w:jc w:val="center"/>
              <w:rPr>
                <w:rFonts w:ascii="Calibri" w:hAnsi="Calibri" w:cs="Calibri"/>
                <w:b/>
                <w:sz w:val="20"/>
                <w:szCs w:val="20"/>
              </w:rPr>
            </w:pPr>
            <w:r w:rsidRPr="008E3FA9">
              <w:rPr>
                <w:rFonts w:ascii="Calibri" w:hAnsi="Calibri" w:cs="Calibri"/>
                <w:b/>
                <w:sz w:val="20"/>
                <w:szCs w:val="20"/>
              </w:rPr>
              <w:t>Step 2 Effects Determinations</w:t>
            </w:r>
          </w:p>
        </w:tc>
        <w:tc>
          <w:tcPr>
            <w:tcW w:w="744" w:type="dxa"/>
            <w:vMerge w:val="restart"/>
            <w:shd w:val="clear" w:color="auto" w:fill="D9D9D9" w:themeFill="background1" w:themeFillShade="D9"/>
            <w:noWrap/>
            <w:vAlign w:val="center"/>
            <w:hideMark/>
          </w:tcPr>
          <w:p w14:paraId="25A09118" w14:textId="77777777" w:rsidR="00B408AC" w:rsidRPr="008E3FA9" w:rsidRDefault="00B408AC" w:rsidP="00EB21F7">
            <w:pPr>
              <w:keepNext/>
              <w:jc w:val="center"/>
              <w:rPr>
                <w:rFonts w:ascii="Calibri" w:hAnsi="Calibri" w:cs="Calibri"/>
                <w:b/>
                <w:sz w:val="20"/>
                <w:szCs w:val="20"/>
              </w:rPr>
            </w:pPr>
            <w:r w:rsidRPr="008E3FA9">
              <w:rPr>
                <w:rFonts w:ascii="Calibri" w:hAnsi="Calibri" w:cs="Calibri"/>
                <w:b/>
                <w:sz w:val="20"/>
                <w:szCs w:val="20"/>
              </w:rPr>
              <w:t>Totals</w:t>
            </w:r>
          </w:p>
        </w:tc>
      </w:tr>
      <w:tr w:rsidR="00B408AC" w:rsidRPr="008E3FA9" w14:paraId="1B4C7835" w14:textId="77777777" w:rsidTr="00655057">
        <w:trPr>
          <w:trHeight w:val="288"/>
        </w:trPr>
        <w:tc>
          <w:tcPr>
            <w:tcW w:w="1849" w:type="dxa"/>
            <w:vMerge/>
            <w:shd w:val="clear" w:color="auto" w:fill="D9D9D9" w:themeFill="background1" w:themeFillShade="D9"/>
            <w:vAlign w:val="center"/>
            <w:hideMark/>
          </w:tcPr>
          <w:p w14:paraId="22A2CB1A" w14:textId="77777777" w:rsidR="00B408AC" w:rsidRPr="008E3FA9" w:rsidRDefault="00B408AC" w:rsidP="00EB21F7">
            <w:pPr>
              <w:keepNext/>
              <w:rPr>
                <w:rFonts w:ascii="Calibri" w:hAnsi="Calibri" w:cs="Calibri"/>
                <w:b/>
                <w:sz w:val="20"/>
                <w:szCs w:val="20"/>
              </w:rPr>
            </w:pPr>
          </w:p>
        </w:tc>
        <w:tc>
          <w:tcPr>
            <w:tcW w:w="862" w:type="dxa"/>
            <w:shd w:val="clear" w:color="auto" w:fill="D9D9D9" w:themeFill="background1" w:themeFillShade="D9"/>
            <w:vAlign w:val="center"/>
            <w:hideMark/>
          </w:tcPr>
          <w:p w14:paraId="5A566F5F" w14:textId="77777777" w:rsidR="00B408AC" w:rsidRPr="008E3FA9" w:rsidRDefault="00B408AC" w:rsidP="00EB21F7">
            <w:pPr>
              <w:keepNext/>
              <w:jc w:val="center"/>
              <w:rPr>
                <w:rFonts w:ascii="Calibri" w:hAnsi="Calibri" w:cs="Calibri"/>
                <w:b/>
                <w:sz w:val="20"/>
                <w:szCs w:val="20"/>
              </w:rPr>
            </w:pPr>
            <w:r w:rsidRPr="008E3FA9">
              <w:rPr>
                <w:rFonts w:ascii="Calibri" w:hAnsi="Calibri" w:cs="Calibri"/>
                <w:b/>
                <w:sz w:val="20"/>
                <w:szCs w:val="20"/>
              </w:rPr>
              <w:t>No Effect</w:t>
            </w:r>
          </w:p>
        </w:tc>
        <w:tc>
          <w:tcPr>
            <w:tcW w:w="1013" w:type="dxa"/>
            <w:shd w:val="clear" w:color="auto" w:fill="D9D9D9" w:themeFill="background1" w:themeFillShade="D9"/>
            <w:vAlign w:val="center"/>
            <w:hideMark/>
          </w:tcPr>
          <w:p w14:paraId="40FB81ED" w14:textId="77777777" w:rsidR="00B408AC" w:rsidRPr="008E3FA9" w:rsidRDefault="00B408AC" w:rsidP="00EB21F7">
            <w:pPr>
              <w:keepNext/>
              <w:jc w:val="center"/>
              <w:rPr>
                <w:rFonts w:ascii="Calibri" w:hAnsi="Calibri" w:cs="Calibri"/>
                <w:b/>
                <w:sz w:val="20"/>
                <w:szCs w:val="20"/>
              </w:rPr>
            </w:pPr>
            <w:r w:rsidRPr="008E3FA9">
              <w:rPr>
                <w:rFonts w:ascii="Calibri" w:hAnsi="Calibri" w:cs="Calibri"/>
                <w:b/>
                <w:sz w:val="20"/>
                <w:szCs w:val="20"/>
              </w:rPr>
              <w:t>May Affect</w:t>
            </w:r>
          </w:p>
        </w:tc>
        <w:tc>
          <w:tcPr>
            <w:tcW w:w="2134" w:type="dxa"/>
            <w:shd w:val="clear" w:color="auto" w:fill="D9D9D9" w:themeFill="background1" w:themeFillShade="D9"/>
            <w:noWrap/>
            <w:vAlign w:val="center"/>
            <w:hideMark/>
          </w:tcPr>
          <w:p w14:paraId="0BB448F4" w14:textId="77777777" w:rsidR="00B408AC" w:rsidRPr="008E3FA9" w:rsidRDefault="00B408AC" w:rsidP="00EB21F7">
            <w:pPr>
              <w:keepNext/>
              <w:jc w:val="center"/>
              <w:rPr>
                <w:rFonts w:ascii="Calibri" w:hAnsi="Calibri" w:cs="Calibri"/>
                <w:b/>
                <w:sz w:val="20"/>
                <w:szCs w:val="20"/>
              </w:rPr>
            </w:pPr>
            <w:r w:rsidRPr="008E3FA9">
              <w:rPr>
                <w:rFonts w:ascii="Calibri" w:hAnsi="Calibri" w:cs="Calibri"/>
                <w:b/>
                <w:sz w:val="20"/>
                <w:szCs w:val="20"/>
              </w:rPr>
              <w:t>Not Likely to Adversely Affect</w:t>
            </w:r>
          </w:p>
        </w:tc>
        <w:tc>
          <w:tcPr>
            <w:tcW w:w="2326" w:type="dxa"/>
            <w:shd w:val="clear" w:color="auto" w:fill="D9D9D9" w:themeFill="background1" w:themeFillShade="D9"/>
            <w:noWrap/>
            <w:vAlign w:val="center"/>
            <w:hideMark/>
          </w:tcPr>
          <w:p w14:paraId="1E5F62AE" w14:textId="77777777" w:rsidR="00B408AC" w:rsidRPr="008E3FA9" w:rsidRDefault="00B408AC" w:rsidP="00EB21F7">
            <w:pPr>
              <w:keepNext/>
              <w:jc w:val="center"/>
              <w:rPr>
                <w:rFonts w:ascii="Calibri" w:hAnsi="Calibri" w:cs="Calibri"/>
                <w:b/>
                <w:sz w:val="20"/>
                <w:szCs w:val="20"/>
              </w:rPr>
            </w:pPr>
            <w:r w:rsidRPr="008E3FA9">
              <w:rPr>
                <w:rFonts w:ascii="Calibri" w:hAnsi="Calibri" w:cs="Calibri"/>
                <w:b/>
                <w:sz w:val="20"/>
                <w:szCs w:val="20"/>
              </w:rPr>
              <w:t>Likely to Adversely Affect</w:t>
            </w:r>
          </w:p>
        </w:tc>
        <w:tc>
          <w:tcPr>
            <w:tcW w:w="744" w:type="dxa"/>
            <w:vMerge/>
            <w:shd w:val="clear" w:color="auto" w:fill="D9D9D9" w:themeFill="background1" w:themeFillShade="D9"/>
            <w:vAlign w:val="center"/>
            <w:hideMark/>
          </w:tcPr>
          <w:p w14:paraId="4C595CDD" w14:textId="77777777" w:rsidR="00B408AC" w:rsidRPr="008E3FA9" w:rsidRDefault="00B408AC" w:rsidP="00EB21F7">
            <w:pPr>
              <w:keepNext/>
              <w:rPr>
                <w:rFonts w:ascii="Calibri" w:hAnsi="Calibri" w:cs="Calibri"/>
                <w:b/>
                <w:sz w:val="20"/>
                <w:szCs w:val="20"/>
              </w:rPr>
            </w:pPr>
          </w:p>
        </w:tc>
      </w:tr>
      <w:tr w:rsidR="00655057" w:rsidRPr="008E3FA9" w14:paraId="6E834B6C" w14:textId="77777777" w:rsidTr="00655057">
        <w:trPr>
          <w:trHeight w:val="288"/>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14:paraId="5FAC4EA3" w14:textId="374B86A0" w:rsidR="00655057" w:rsidRPr="008E3FA9" w:rsidRDefault="00655057" w:rsidP="00655057">
            <w:pPr>
              <w:keepNext/>
              <w:rPr>
                <w:rFonts w:ascii="Calibri" w:hAnsi="Calibri" w:cs="Calibri"/>
                <w:sz w:val="20"/>
                <w:szCs w:val="20"/>
              </w:rPr>
            </w:pPr>
            <w:r w:rsidRPr="00402CBD">
              <w:rPr>
                <w:rFonts w:cstheme="minorHAnsi"/>
                <w:color w:val="000000"/>
                <w:sz w:val="20"/>
                <w:szCs w:val="20"/>
              </w:rPr>
              <w:t>Mammals</w:t>
            </w:r>
          </w:p>
        </w:tc>
        <w:tc>
          <w:tcPr>
            <w:tcW w:w="862" w:type="dxa"/>
            <w:tcBorders>
              <w:top w:val="nil"/>
              <w:left w:val="nil"/>
              <w:bottom w:val="single" w:sz="8" w:space="0" w:color="auto"/>
              <w:right w:val="single" w:sz="8" w:space="0" w:color="auto"/>
            </w:tcBorders>
            <w:shd w:val="clear" w:color="auto" w:fill="auto"/>
            <w:vAlign w:val="center"/>
            <w:hideMark/>
          </w:tcPr>
          <w:p w14:paraId="7051A4B2" w14:textId="14CB5628" w:rsidR="00655057" w:rsidRPr="008E3FA9" w:rsidRDefault="00655057" w:rsidP="00655057">
            <w:pPr>
              <w:keepNext/>
              <w:jc w:val="center"/>
              <w:rPr>
                <w:rFonts w:ascii="Calibri" w:hAnsi="Calibri" w:cs="Calibri"/>
                <w:sz w:val="20"/>
                <w:szCs w:val="20"/>
              </w:rPr>
            </w:pPr>
            <w:r w:rsidRPr="00402CBD">
              <w:rPr>
                <w:rFonts w:cstheme="minorHAnsi"/>
                <w:color w:val="000000"/>
                <w:sz w:val="20"/>
                <w:szCs w:val="20"/>
              </w:rPr>
              <w:t>14</w:t>
            </w:r>
          </w:p>
        </w:tc>
        <w:tc>
          <w:tcPr>
            <w:tcW w:w="1013" w:type="dxa"/>
            <w:tcBorders>
              <w:top w:val="nil"/>
              <w:left w:val="nil"/>
              <w:bottom w:val="single" w:sz="8" w:space="0" w:color="auto"/>
              <w:right w:val="nil"/>
            </w:tcBorders>
            <w:shd w:val="clear" w:color="auto" w:fill="auto"/>
            <w:vAlign w:val="center"/>
          </w:tcPr>
          <w:p w14:paraId="07282692" w14:textId="5400A78B" w:rsidR="00655057" w:rsidRPr="008E3FA9" w:rsidRDefault="00655057" w:rsidP="00655057">
            <w:pPr>
              <w:keepNext/>
              <w:jc w:val="center"/>
              <w:rPr>
                <w:rFonts w:ascii="Calibri" w:hAnsi="Calibri" w:cs="Calibri"/>
                <w:sz w:val="20"/>
                <w:szCs w:val="20"/>
              </w:rPr>
            </w:pPr>
            <w:r w:rsidRPr="00402CBD">
              <w:rPr>
                <w:rFonts w:cstheme="minorHAnsi"/>
                <w:color w:val="000000"/>
                <w:sz w:val="20"/>
                <w:szCs w:val="20"/>
              </w:rPr>
              <w:t>85</w:t>
            </w:r>
          </w:p>
        </w:tc>
        <w:tc>
          <w:tcPr>
            <w:tcW w:w="2134" w:type="dxa"/>
            <w:tcBorders>
              <w:top w:val="nil"/>
              <w:left w:val="single" w:sz="8" w:space="0" w:color="auto"/>
              <w:bottom w:val="single" w:sz="8" w:space="0" w:color="auto"/>
              <w:right w:val="nil"/>
            </w:tcBorders>
            <w:shd w:val="clear" w:color="auto" w:fill="auto"/>
            <w:noWrap/>
            <w:vAlign w:val="center"/>
            <w:hideMark/>
          </w:tcPr>
          <w:p w14:paraId="2A5C63B7" w14:textId="00AA1664" w:rsidR="00655057" w:rsidRPr="008E3FA9" w:rsidRDefault="00655057" w:rsidP="00655057">
            <w:pPr>
              <w:keepNext/>
              <w:jc w:val="center"/>
              <w:rPr>
                <w:rFonts w:ascii="Calibri" w:hAnsi="Calibri" w:cs="Calibri"/>
                <w:sz w:val="20"/>
                <w:szCs w:val="20"/>
              </w:rPr>
            </w:pPr>
            <w:r w:rsidRPr="00402CBD">
              <w:rPr>
                <w:rFonts w:cstheme="minorHAnsi"/>
                <w:color w:val="000000"/>
                <w:sz w:val="20"/>
                <w:szCs w:val="20"/>
              </w:rPr>
              <w:t>16</w:t>
            </w:r>
          </w:p>
        </w:tc>
        <w:tc>
          <w:tcPr>
            <w:tcW w:w="2326" w:type="dxa"/>
            <w:tcBorders>
              <w:top w:val="nil"/>
              <w:left w:val="single" w:sz="8" w:space="0" w:color="auto"/>
              <w:bottom w:val="single" w:sz="8" w:space="0" w:color="auto"/>
              <w:right w:val="single" w:sz="8" w:space="0" w:color="auto"/>
            </w:tcBorders>
            <w:shd w:val="clear" w:color="auto" w:fill="auto"/>
            <w:noWrap/>
            <w:vAlign w:val="center"/>
            <w:hideMark/>
          </w:tcPr>
          <w:p w14:paraId="356A318F" w14:textId="10A778E7" w:rsidR="00655057" w:rsidRPr="008E3FA9" w:rsidRDefault="00655057" w:rsidP="00655057">
            <w:pPr>
              <w:keepNext/>
              <w:jc w:val="center"/>
              <w:rPr>
                <w:rFonts w:ascii="Calibri" w:hAnsi="Calibri" w:cs="Calibri"/>
                <w:sz w:val="20"/>
                <w:szCs w:val="20"/>
              </w:rPr>
            </w:pPr>
            <w:r w:rsidRPr="00402CBD">
              <w:rPr>
                <w:rFonts w:cstheme="minorHAnsi"/>
                <w:color w:val="000000"/>
                <w:sz w:val="20"/>
                <w:szCs w:val="20"/>
              </w:rPr>
              <w:t>69</w:t>
            </w:r>
          </w:p>
        </w:tc>
        <w:tc>
          <w:tcPr>
            <w:tcW w:w="744" w:type="dxa"/>
            <w:tcBorders>
              <w:top w:val="nil"/>
              <w:left w:val="nil"/>
              <w:bottom w:val="single" w:sz="8" w:space="0" w:color="auto"/>
              <w:right w:val="single" w:sz="8" w:space="0" w:color="auto"/>
            </w:tcBorders>
            <w:shd w:val="clear" w:color="auto" w:fill="auto"/>
            <w:noWrap/>
            <w:vAlign w:val="center"/>
          </w:tcPr>
          <w:p w14:paraId="45FBF8C4" w14:textId="40D084A5" w:rsidR="00655057" w:rsidRPr="008E3FA9" w:rsidRDefault="00655057" w:rsidP="00655057">
            <w:pPr>
              <w:keepNext/>
              <w:jc w:val="center"/>
              <w:rPr>
                <w:rFonts w:ascii="Calibri" w:hAnsi="Calibri" w:cs="Calibri"/>
                <w:sz w:val="20"/>
                <w:szCs w:val="20"/>
              </w:rPr>
            </w:pPr>
            <w:r w:rsidRPr="00402CBD">
              <w:rPr>
                <w:rFonts w:cstheme="minorHAnsi"/>
                <w:color w:val="000000"/>
                <w:sz w:val="20"/>
                <w:szCs w:val="20"/>
              </w:rPr>
              <w:t>99</w:t>
            </w:r>
          </w:p>
        </w:tc>
      </w:tr>
      <w:tr w:rsidR="00655057" w:rsidRPr="008E3FA9" w14:paraId="78E5DC46" w14:textId="77777777" w:rsidTr="00655057">
        <w:trPr>
          <w:trHeight w:val="288"/>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14:paraId="3DF14E5E" w14:textId="5A5221EF" w:rsidR="00655057" w:rsidRPr="008E3FA9" w:rsidRDefault="00655057" w:rsidP="00655057">
            <w:pPr>
              <w:rPr>
                <w:rFonts w:ascii="Calibri" w:hAnsi="Calibri" w:cs="Calibri"/>
                <w:sz w:val="20"/>
                <w:szCs w:val="20"/>
              </w:rPr>
            </w:pPr>
            <w:r w:rsidRPr="00402CBD">
              <w:rPr>
                <w:rFonts w:cstheme="minorHAnsi"/>
                <w:color w:val="000000"/>
                <w:sz w:val="20"/>
                <w:szCs w:val="20"/>
              </w:rPr>
              <w:t>Birds</w:t>
            </w:r>
          </w:p>
        </w:tc>
        <w:tc>
          <w:tcPr>
            <w:tcW w:w="862" w:type="dxa"/>
            <w:tcBorders>
              <w:top w:val="nil"/>
              <w:left w:val="nil"/>
              <w:bottom w:val="single" w:sz="8" w:space="0" w:color="auto"/>
              <w:right w:val="single" w:sz="8" w:space="0" w:color="auto"/>
            </w:tcBorders>
            <w:shd w:val="clear" w:color="auto" w:fill="auto"/>
            <w:vAlign w:val="center"/>
            <w:hideMark/>
          </w:tcPr>
          <w:p w14:paraId="6D5847C9" w14:textId="64E288A5" w:rsidR="00655057" w:rsidRPr="008E3FA9" w:rsidRDefault="00655057" w:rsidP="00655057">
            <w:pPr>
              <w:jc w:val="center"/>
              <w:rPr>
                <w:rFonts w:ascii="Calibri" w:hAnsi="Calibri" w:cs="Calibri"/>
                <w:sz w:val="20"/>
                <w:szCs w:val="20"/>
              </w:rPr>
            </w:pPr>
            <w:r w:rsidRPr="00402CBD">
              <w:rPr>
                <w:rFonts w:cstheme="minorHAnsi"/>
                <w:color w:val="000000"/>
                <w:sz w:val="20"/>
                <w:szCs w:val="20"/>
              </w:rPr>
              <w:t>58</w:t>
            </w:r>
          </w:p>
        </w:tc>
        <w:tc>
          <w:tcPr>
            <w:tcW w:w="1013" w:type="dxa"/>
            <w:tcBorders>
              <w:top w:val="nil"/>
              <w:left w:val="nil"/>
              <w:bottom w:val="single" w:sz="8" w:space="0" w:color="auto"/>
              <w:right w:val="nil"/>
            </w:tcBorders>
            <w:shd w:val="clear" w:color="auto" w:fill="auto"/>
            <w:vAlign w:val="center"/>
          </w:tcPr>
          <w:p w14:paraId="6EC6C97A" w14:textId="7D6E39B2" w:rsidR="00655057" w:rsidRPr="008E3FA9" w:rsidRDefault="00655057" w:rsidP="00655057">
            <w:pPr>
              <w:jc w:val="center"/>
              <w:rPr>
                <w:rFonts w:ascii="Calibri" w:hAnsi="Calibri" w:cs="Calibri"/>
                <w:sz w:val="20"/>
                <w:szCs w:val="20"/>
              </w:rPr>
            </w:pPr>
            <w:r w:rsidRPr="00402CBD">
              <w:rPr>
                <w:rFonts w:cstheme="minorHAnsi"/>
                <w:color w:val="000000"/>
                <w:sz w:val="20"/>
                <w:szCs w:val="20"/>
              </w:rPr>
              <w:t>50</w:t>
            </w:r>
          </w:p>
        </w:tc>
        <w:tc>
          <w:tcPr>
            <w:tcW w:w="2134" w:type="dxa"/>
            <w:tcBorders>
              <w:top w:val="nil"/>
              <w:left w:val="single" w:sz="8" w:space="0" w:color="auto"/>
              <w:bottom w:val="single" w:sz="8" w:space="0" w:color="auto"/>
              <w:right w:val="nil"/>
            </w:tcBorders>
            <w:shd w:val="clear" w:color="auto" w:fill="auto"/>
            <w:noWrap/>
            <w:vAlign w:val="center"/>
            <w:hideMark/>
          </w:tcPr>
          <w:p w14:paraId="5B2C370B" w14:textId="3F888A58" w:rsidR="00655057" w:rsidRPr="008E3FA9" w:rsidRDefault="00655057" w:rsidP="00655057">
            <w:pPr>
              <w:jc w:val="center"/>
              <w:rPr>
                <w:rFonts w:ascii="Calibri" w:hAnsi="Calibri" w:cs="Calibri"/>
                <w:sz w:val="20"/>
                <w:szCs w:val="20"/>
              </w:rPr>
            </w:pPr>
            <w:r w:rsidRPr="00402CBD">
              <w:rPr>
                <w:rFonts w:cstheme="minorHAnsi"/>
                <w:color w:val="000000"/>
                <w:sz w:val="20"/>
                <w:szCs w:val="20"/>
              </w:rPr>
              <w:t>8</w:t>
            </w:r>
          </w:p>
        </w:tc>
        <w:tc>
          <w:tcPr>
            <w:tcW w:w="2326" w:type="dxa"/>
            <w:tcBorders>
              <w:top w:val="nil"/>
              <w:left w:val="single" w:sz="8" w:space="0" w:color="auto"/>
              <w:bottom w:val="single" w:sz="8" w:space="0" w:color="auto"/>
              <w:right w:val="single" w:sz="8" w:space="0" w:color="auto"/>
            </w:tcBorders>
            <w:shd w:val="clear" w:color="auto" w:fill="auto"/>
            <w:noWrap/>
            <w:vAlign w:val="center"/>
            <w:hideMark/>
          </w:tcPr>
          <w:p w14:paraId="4A488639" w14:textId="750AED04" w:rsidR="00655057" w:rsidRPr="008E3FA9" w:rsidRDefault="00655057" w:rsidP="00655057">
            <w:pPr>
              <w:jc w:val="center"/>
              <w:rPr>
                <w:rFonts w:ascii="Calibri" w:hAnsi="Calibri" w:cs="Calibri"/>
                <w:sz w:val="20"/>
                <w:szCs w:val="20"/>
              </w:rPr>
            </w:pPr>
            <w:r w:rsidRPr="00402CBD">
              <w:rPr>
                <w:rFonts w:cstheme="minorHAnsi"/>
                <w:color w:val="000000"/>
                <w:sz w:val="20"/>
                <w:szCs w:val="20"/>
              </w:rPr>
              <w:t>42</w:t>
            </w:r>
          </w:p>
        </w:tc>
        <w:tc>
          <w:tcPr>
            <w:tcW w:w="744" w:type="dxa"/>
            <w:tcBorders>
              <w:top w:val="nil"/>
              <w:left w:val="nil"/>
              <w:bottom w:val="single" w:sz="8" w:space="0" w:color="auto"/>
              <w:right w:val="single" w:sz="8" w:space="0" w:color="auto"/>
            </w:tcBorders>
            <w:shd w:val="clear" w:color="auto" w:fill="auto"/>
            <w:noWrap/>
            <w:vAlign w:val="center"/>
          </w:tcPr>
          <w:p w14:paraId="5B5221C1" w14:textId="3E9B9A4B" w:rsidR="00655057" w:rsidRPr="008E3FA9" w:rsidRDefault="00655057" w:rsidP="00655057">
            <w:pPr>
              <w:jc w:val="center"/>
              <w:rPr>
                <w:rFonts w:ascii="Calibri" w:hAnsi="Calibri" w:cs="Calibri"/>
                <w:sz w:val="20"/>
                <w:szCs w:val="20"/>
              </w:rPr>
            </w:pPr>
            <w:r w:rsidRPr="00402CBD">
              <w:rPr>
                <w:rFonts w:cstheme="minorHAnsi"/>
                <w:color w:val="000000"/>
                <w:sz w:val="20"/>
                <w:szCs w:val="20"/>
              </w:rPr>
              <w:t>108</w:t>
            </w:r>
          </w:p>
        </w:tc>
      </w:tr>
      <w:tr w:rsidR="00655057" w:rsidRPr="008E3FA9" w14:paraId="54A4C76E" w14:textId="77777777" w:rsidTr="00655057">
        <w:trPr>
          <w:trHeight w:val="288"/>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14:paraId="2540709A" w14:textId="75E4797B" w:rsidR="00655057" w:rsidRPr="008E3FA9" w:rsidRDefault="00655057" w:rsidP="00655057">
            <w:pPr>
              <w:rPr>
                <w:rFonts w:ascii="Calibri" w:hAnsi="Calibri" w:cs="Calibri"/>
                <w:sz w:val="20"/>
                <w:szCs w:val="20"/>
              </w:rPr>
            </w:pPr>
            <w:r w:rsidRPr="00402CBD">
              <w:rPr>
                <w:rFonts w:cstheme="minorHAnsi"/>
                <w:color w:val="000000"/>
                <w:sz w:val="20"/>
                <w:szCs w:val="20"/>
              </w:rPr>
              <w:t>Amphibians</w:t>
            </w:r>
          </w:p>
        </w:tc>
        <w:tc>
          <w:tcPr>
            <w:tcW w:w="862" w:type="dxa"/>
            <w:tcBorders>
              <w:top w:val="nil"/>
              <w:left w:val="nil"/>
              <w:bottom w:val="single" w:sz="8" w:space="0" w:color="auto"/>
              <w:right w:val="single" w:sz="8" w:space="0" w:color="auto"/>
            </w:tcBorders>
            <w:shd w:val="clear" w:color="auto" w:fill="auto"/>
            <w:vAlign w:val="center"/>
            <w:hideMark/>
          </w:tcPr>
          <w:p w14:paraId="342C917F" w14:textId="20FCB760" w:rsidR="00655057" w:rsidRPr="008E3FA9" w:rsidRDefault="00655057" w:rsidP="00655057">
            <w:pPr>
              <w:jc w:val="center"/>
              <w:rPr>
                <w:rFonts w:ascii="Calibri" w:hAnsi="Calibri" w:cs="Calibri"/>
                <w:sz w:val="20"/>
                <w:szCs w:val="20"/>
              </w:rPr>
            </w:pPr>
            <w:r w:rsidRPr="00402CBD">
              <w:rPr>
                <w:rFonts w:cstheme="minorHAnsi"/>
                <w:color w:val="000000"/>
                <w:sz w:val="20"/>
                <w:szCs w:val="20"/>
              </w:rPr>
              <w:t>4</w:t>
            </w:r>
          </w:p>
        </w:tc>
        <w:tc>
          <w:tcPr>
            <w:tcW w:w="1013" w:type="dxa"/>
            <w:tcBorders>
              <w:top w:val="nil"/>
              <w:left w:val="nil"/>
              <w:bottom w:val="single" w:sz="8" w:space="0" w:color="auto"/>
              <w:right w:val="nil"/>
            </w:tcBorders>
            <w:shd w:val="clear" w:color="auto" w:fill="auto"/>
            <w:vAlign w:val="center"/>
          </w:tcPr>
          <w:p w14:paraId="2CD68EE7" w14:textId="7CD2CED2" w:rsidR="00655057" w:rsidRPr="008E3FA9" w:rsidRDefault="00655057" w:rsidP="00655057">
            <w:pPr>
              <w:jc w:val="center"/>
              <w:rPr>
                <w:rFonts w:ascii="Calibri" w:hAnsi="Calibri" w:cs="Calibri"/>
                <w:sz w:val="20"/>
                <w:szCs w:val="20"/>
              </w:rPr>
            </w:pPr>
            <w:r w:rsidRPr="00402CBD">
              <w:rPr>
                <w:rFonts w:cstheme="minorHAnsi"/>
                <w:color w:val="000000"/>
                <w:sz w:val="20"/>
                <w:szCs w:val="20"/>
              </w:rPr>
              <w:t>32</w:t>
            </w:r>
          </w:p>
        </w:tc>
        <w:tc>
          <w:tcPr>
            <w:tcW w:w="2134" w:type="dxa"/>
            <w:tcBorders>
              <w:top w:val="nil"/>
              <w:left w:val="single" w:sz="8" w:space="0" w:color="auto"/>
              <w:bottom w:val="single" w:sz="8" w:space="0" w:color="auto"/>
              <w:right w:val="nil"/>
            </w:tcBorders>
            <w:shd w:val="clear" w:color="auto" w:fill="auto"/>
            <w:noWrap/>
            <w:vAlign w:val="center"/>
            <w:hideMark/>
          </w:tcPr>
          <w:p w14:paraId="3E34FE9F" w14:textId="6735C62D" w:rsidR="00655057" w:rsidRPr="008E3FA9" w:rsidRDefault="00655057" w:rsidP="00655057">
            <w:pPr>
              <w:jc w:val="center"/>
              <w:rPr>
                <w:rFonts w:ascii="Calibri" w:hAnsi="Calibri" w:cs="Calibri"/>
                <w:sz w:val="20"/>
                <w:szCs w:val="20"/>
              </w:rPr>
            </w:pPr>
            <w:r w:rsidRPr="00402CBD">
              <w:rPr>
                <w:rFonts w:cstheme="minorHAnsi"/>
                <w:color w:val="000000"/>
                <w:sz w:val="20"/>
                <w:szCs w:val="20"/>
              </w:rPr>
              <w:t>1</w:t>
            </w:r>
          </w:p>
        </w:tc>
        <w:tc>
          <w:tcPr>
            <w:tcW w:w="2326" w:type="dxa"/>
            <w:tcBorders>
              <w:top w:val="nil"/>
              <w:left w:val="single" w:sz="8" w:space="0" w:color="auto"/>
              <w:bottom w:val="single" w:sz="8" w:space="0" w:color="auto"/>
              <w:right w:val="single" w:sz="8" w:space="0" w:color="auto"/>
            </w:tcBorders>
            <w:shd w:val="clear" w:color="auto" w:fill="auto"/>
            <w:noWrap/>
            <w:vAlign w:val="center"/>
            <w:hideMark/>
          </w:tcPr>
          <w:p w14:paraId="1218F746" w14:textId="50AFCB08" w:rsidR="00655057" w:rsidRPr="008E3FA9" w:rsidRDefault="00655057" w:rsidP="00655057">
            <w:pPr>
              <w:jc w:val="center"/>
              <w:rPr>
                <w:rFonts w:ascii="Calibri" w:hAnsi="Calibri" w:cs="Calibri"/>
                <w:sz w:val="20"/>
                <w:szCs w:val="20"/>
              </w:rPr>
            </w:pPr>
            <w:r w:rsidRPr="00402CBD">
              <w:rPr>
                <w:rFonts w:cstheme="minorHAnsi"/>
                <w:color w:val="000000"/>
                <w:sz w:val="20"/>
                <w:szCs w:val="20"/>
              </w:rPr>
              <w:t>31</w:t>
            </w:r>
          </w:p>
        </w:tc>
        <w:tc>
          <w:tcPr>
            <w:tcW w:w="744" w:type="dxa"/>
            <w:tcBorders>
              <w:top w:val="nil"/>
              <w:left w:val="nil"/>
              <w:bottom w:val="single" w:sz="8" w:space="0" w:color="auto"/>
              <w:right w:val="single" w:sz="8" w:space="0" w:color="auto"/>
            </w:tcBorders>
            <w:shd w:val="clear" w:color="auto" w:fill="auto"/>
            <w:noWrap/>
            <w:vAlign w:val="center"/>
          </w:tcPr>
          <w:p w14:paraId="62D30647" w14:textId="1C981412" w:rsidR="00655057" w:rsidRPr="008E3FA9" w:rsidRDefault="00655057" w:rsidP="00655057">
            <w:pPr>
              <w:jc w:val="center"/>
              <w:rPr>
                <w:rFonts w:ascii="Calibri" w:hAnsi="Calibri" w:cs="Calibri"/>
                <w:sz w:val="20"/>
                <w:szCs w:val="20"/>
              </w:rPr>
            </w:pPr>
            <w:r w:rsidRPr="00402CBD">
              <w:rPr>
                <w:rFonts w:cstheme="minorHAnsi"/>
                <w:color w:val="000000"/>
                <w:sz w:val="20"/>
                <w:szCs w:val="20"/>
              </w:rPr>
              <w:t>36</w:t>
            </w:r>
          </w:p>
        </w:tc>
      </w:tr>
      <w:tr w:rsidR="00655057" w:rsidRPr="008E3FA9" w14:paraId="03ADADF4" w14:textId="77777777" w:rsidTr="00655057">
        <w:trPr>
          <w:trHeight w:val="288"/>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14:paraId="5083A78B" w14:textId="60C9CF0C" w:rsidR="00655057" w:rsidRPr="008E3FA9" w:rsidRDefault="00655057" w:rsidP="00655057">
            <w:pPr>
              <w:rPr>
                <w:rFonts w:ascii="Calibri" w:hAnsi="Calibri" w:cs="Calibri"/>
                <w:sz w:val="20"/>
                <w:szCs w:val="20"/>
              </w:rPr>
            </w:pPr>
            <w:r w:rsidRPr="00402CBD">
              <w:rPr>
                <w:rFonts w:cstheme="minorHAnsi"/>
                <w:color w:val="000000"/>
                <w:sz w:val="20"/>
                <w:szCs w:val="20"/>
              </w:rPr>
              <w:t>Reptiles</w:t>
            </w:r>
          </w:p>
        </w:tc>
        <w:tc>
          <w:tcPr>
            <w:tcW w:w="862" w:type="dxa"/>
            <w:tcBorders>
              <w:top w:val="nil"/>
              <w:left w:val="nil"/>
              <w:bottom w:val="single" w:sz="8" w:space="0" w:color="auto"/>
              <w:right w:val="single" w:sz="8" w:space="0" w:color="auto"/>
            </w:tcBorders>
            <w:shd w:val="clear" w:color="auto" w:fill="auto"/>
            <w:vAlign w:val="center"/>
            <w:hideMark/>
          </w:tcPr>
          <w:p w14:paraId="65BF5E81" w14:textId="0AB5BB2B" w:rsidR="00655057" w:rsidRPr="008E3FA9" w:rsidRDefault="00655057" w:rsidP="00655057">
            <w:pPr>
              <w:jc w:val="center"/>
              <w:rPr>
                <w:rFonts w:ascii="Calibri" w:hAnsi="Calibri" w:cs="Calibri"/>
                <w:sz w:val="20"/>
                <w:szCs w:val="20"/>
              </w:rPr>
            </w:pPr>
            <w:r w:rsidRPr="00402CBD">
              <w:rPr>
                <w:rFonts w:cstheme="minorHAnsi"/>
                <w:color w:val="000000"/>
                <w:sz w:val="20"/>
                <w:szCs w:val="20"/>
              </w:rPr>
              <w:t>10</w:t>
            </w:r>
          </w:p>
        </w:tc>
        <w:tc>
          <w:tcPr>
            <w:tcW w:w="1013" w:type="dxa"/>
            <w:tcBorders>
              <w:top w:val="nil"/>
              <w:left w:val="nil"/>
              <w:bottom w:val="single" w:sz="8" w:space="0" w:color="auto"/>
              <w:right w:val="nil"/>
            </w:tcBorders>
            <w:shd w:val="clear" w:color="auto" w:fill="auto"/>
            <w:vAlign w:val="center"/>
          </w:tcPr>
          <w:p w14:paraId="799960FD" w14:textId="5F592ABD" w:rsidR="00655057" w:rsidRPr="008E3FA9" w:rsidRDefault="00655057" w:rsidP="00655057">
            <w:pPr>
              <w:jc w:val="center"/>
              <w:rPr>
                <w:rFonts w:ascii="Calibri" w:hAnsi="Calibri" w:cs="Calibri"/>
                <w:sz w:val="20"/>
                <w:szCs w:val="20"/>
              </w:rPr>
            </w:pPr>
            <w:r w:rsidRPr="00402CBD">
              <w:rPr>
                <w:rFonts w:cstheme="minorHAnsi"/>
                <w:color w:val="000000"/>
                <w:sz w:val="20"/>
                <w:szCs w:val="20"/>
              </w:rPr>
              <w:t>37</w:t>
            </w:r>
          </w:p>
        </w:tc>
        <w:tc>
          <w:tcPr>
            <w:tcW w:w="2134" w:type="dxa"/>
            <w:tcBorders>
              <w:top w:val="nil"/>
              <w:left w:val="single" w:sz="8" w:space="0" w:color="auto"/>
              <w:bottom w:val="single" w:sz="8" w:space="0" w:color="auto"/>
              <w:right w:val="nil"/>
            </w:tcBorders>
            <w:shd w:val="clear" w:color="auto" w:fill="auto"/>
            <w:noWrap/>
            <w:vAlign w:val="center"/>
            <w:hideMark/>
          </w:tcPr>
          <w:p w14:paraId="0C2AB9DB" w14:textId="1E10E59F" w:rsidR="00655057" w:rsidRPr="008E3FA9" w:rsidRDefault="00655057" w:rsidP="00655057">
            <w:pPr>
              <w:jc w:val="center"/>
              <w:rPr>
                <w:rFonts w:ascii="Calibri" w:hAnsi="Calibri" w:cs="Calibri"/>
                <w:sz w:val="20"/>
                <w:szCs w:val="20"/>
              </w:rPr>
            </w:pPr>
            <w:r w:rsidRPr="00402CBD">
              <w:rPr>
                <w:rFonts w:cstheme="minorHAnsi"/>
                <w:color w:val="000000"/>
                <w:sz w:val="20"/>
                <w:szCs w:val="20"/>
              </w:rPr>
              <w:t>11</w:t>
            </w:r>
          </w:p>
        </w:tc>
        <w:tc>
          <w:tcPr>
            <w:tcW w:w="2326" w:type="dxa"/>
            <w:tcBorders>
              <w:top w:val="nil"/>
              <w:left w:val="single" w:sz="8" w:space="0" w:color="auto"/>
              <w:bottom w:val="single" w:sz="8" w:space="0" w:color="auto"/>
              <w:right w:val="single" w:sz="8" w:space="0" w:color="auto"/>
            </w:tcBorders>
            <w:shd w:val="clear" w:color="auto" w:fill="auto"/>
            <w:noWrap/>
            <w:vAlign w:val="center"/>
            <w:hideMark/>
          </w:tcPr>
          <w:p w14:paraId="5E28C86B" w14:textId="541E3DCB" w:rsidR="00655057" w:rsidRPr="008E3FA9" w:rsidRDefault="00655057" w:rsidP="00655057">
            <w:pPr>
              <w:jc w:val="center"/>
              <w:rPr>
                <w:rFonts w:ascii="Calibri" w:hAnsi="Calibri" w:cs="Calibri"/>
                <w:sz w:val="20"/>
                <w:szCs w:val="20"/>
              </w:rPr>
            </w:pPr>
            <w:r w:rsidRPr="00402CBD">
              <w:rPr>
                <w:rFonts w:cstheme="minorHAnsi"/>
                <w:color w:val="000000"/>
                <w:sz w:val="20"/>
                <w:szCs w:val="20"/>
              </w:rPr>
              <w:t>26</w:t>
            </w:r>
          </w:p>
        </w:tc>
        <w:tc>
          <w:tcPr>
            <w:tcW w:w="744" w:type="dxa"/>
            <w:tcBorders>
              <w:top w:val="nil"/>
              <w:left w:val="nil"/>
              <w:bottom w:val="single" w:sz="8" w:space="0" w:color="auto"/>
              <w:right w:val="single" w:sz="8" w:space="0" w:color="auto"/>
            </w:tcBorders>
            <w:shd w:val="clear" w:color="auto" w:fill="auto"/>
            <w:noWrap/>
            <w:vAlign w:val="center"/>
          </w:tcPr>
          <w:p w14:paraId="5D9DA41C" w14:textId="4BB755EF" w:rsidR="00655057" w:rsidRPr="008E3FA9" w:rsidRDefault="00655057" w:rsidP="00655057">
            <w:pPr>
              <w:jc w:val="center"/>
              <w:rPr>
                <w:rFonts w:ascii="Calibri" w:hAnsi="Calibri" w:cs="Calibri"/>
                <w:sz w:val="20"/>
                <w:szCs w:val="20"/>
              </w:rPr>
            </w:pPr>
            <w:r w:rsidRPr="00402CBD">
              <w:rPr>
                <w:rFonts w:cstheme="minorHAnsi"/>
                <w:color w:val="000000"/>
                <w:sz w:val="20"/>
                <w:szCs w:val="20"/>
              </w:rPr>
              <w:t>47</w:t>
            </w:r>
          </w:p>
        </w:tc>
      </w:tr>
      <w:tr w:rsidR="00655057" w:rsidRPr="008E3FA9" w14:paraId="3651E8A5" w14:textId="77777777" w:rsidTr="00655057">
        <w:trPr>
          <w:trHeight w:val="288"/>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14:paraId="38F70CB5" w14:textId="6E32B9E0" w:rsidR="00655057" w:rsidRPr="008E3FA9" w:rsidRDefault="00655057" w:rsidP="00655057">
            <w:pPr>
              <w:rPr>
                <w:rFonts w:ascii="Calibri" w:hAnsi="Calibri" w:cs="Calibri"/>
                <w:sz w:val="20"/>
                <w:szCs w:val="20"/>
              </w:rPr>
            </w:pPr>
            <w:r w:rsidRPr="00402CBD">
              <w:rPr>
                <w:rFonts w:cstheme="minorHAnsi"/>
                <w:color w:val="000000"/>
                <w:sz w:val="20"/>
                <w:szCs w:val="20"/>
              </w:rPr>
              <w:t>Fish</w:t>
            </w:r>
          </w:p>
        </w:tc>
        <w:tc>
          <w:tcPr>
            <w:tcW w:w="862" w:type="dxa"/>
            <w:tcBorders>
              <w:top w:val="nil"/>
              <w:left w:val="nil"/>
              <w:bottom w:val="single" w:sz="8" w:space="0" w:color="auto"/>
              <w:right w:val="single" w:sz="8" w:space="0" w:color="auto"/>
            </w:tcBorders>
            <w:shd w:val="clear" w:color="auto" w:fill="auto"/>
            <w:vAlign w:val="center"/>
            <w:hideMark/>
          </w:tcPr>
          <w:p w14:paraId="78AF55E4" w14:textId="5F9ADFF3" w:rsidR="00655057" w:rsidRPr="008E3FA9" w:rsidRDefault="00655057" w:rsidP="00655057">
            <w:pPr>
              <w:jc w:val="center"/>
              <w:rPr>
                <w:rFonts w:ascii="Calibri" w:hAnsi="Calibri" w:cs="Calibri"/>
                <w:sz w:val="20"/>
                <w:szCs w:val="20"/>
              </w:rPr>
            </w:pPr>
            <w:r w:rsidRPr="00402CBD">
              <w:rPr>
                <w:rFonts w:cstheme="minorHAnsi"/>
                <w:color w:val="000000"/>
                <w:sz w:val="20"/>
                <w:szCs w:val="20"/>
              </w:rPr>
              <w:t>0</w:t>
            </w:r>
          </w:p>
        </w:tc>
        <w:tc>
          <w:tcPr>
            <w:tcW w:w="1013" w:type="dxa"/>
            <w:tcBorders>
              <w:top w:val="nil"/>
              <w:left w:val="nil"/>
              <w:bottom w:val="single" w:sz="8" w:space="0" w:color="auto"/>
              <w:right w:val="nil"/>
            </w:tcBorders>
            <w:shd w:val="clear" w:color="auto" w:fill="auto"/>
            <w:vAlign w:val="center"/>
          </w:tcPr>
          <w:p w14:paraId="797EF95F" w14:textId="14A9F74E" w:rsidR="00655057" w:rsidRPr="008E3FA9" w:rsidRDefault="00655057" w:rsidP="00655057">
            <w:pPr>
              <w:jc w:val="center"/>
              <w:rPr>
                <w:rFonts w:ascii="Calibri" w:hAnsi="Calibri" w:cs="Calibri"/>
                <w:sz w:val="20"/>
                <w:szCs w:val="20"/>
              </w:rPr>
            </w:pPr>
            <w:r w:rsidRPr="00402CBD">
              <w:rPr>
                <w:rFonts w:cstheme="minorHAnsi"/>
                <w:color w:val="000000"/>
                <w:sz w:val="20"/>
                <w:szCs w:val="20"/>
              </w:rPr>
              <w:t>190</w:t>
            </w:r>
          </w:p>
        </w:tc>
        <w:tc>
          <w:tcPr>
            <w:tcW w:w="2134" w:type="dxa"/>
            <w:tcBorders>
              <w:top w:val="nil"/>
              <w:left w:val="single" w:sz="8" w:space="0" w:color="auto"/>
              <w:bottom w:val="single" w:sz="8" w:space="0" w:color="auto"/>
              <w:right w:val="nil"/>
            </w:tcBorders>
            <w:shd w:val="clear" w:color="auto" w:fill="auto"/>
            <w:noWrap/>
            <w:vAlign w:val="center"/>
            <w:hideMark/>
          </w:tcPr>
          <w:p w14:paraId="1731A0EF" w14:textId="121465E1" w:rsidR="00655057" w:rsidRPr="008E3FA9" w:rsidRDefault="00655057" w:rsidP="00655057">
            <w:pPr>
              <w:jc w:val="center"/>
              <w:rPr>
                <w:rFonts w:ascii="Calibri" w:hAnsi="Calibri" w:cs="Calibri"/>
                <w:sz w:val="20"/>
                <w:szCs w:val="20"/>
              </w:rPr>
            </w:pPr>
            <w:r w:rsidRPr="00402CBD">
              <w:rPr>
                <w:rFonts w:cstheme="minorHAnsi"/>
                <w:color w:val="000000"/>
                <w:sz w:val="20"/>
                <w:szCs w:val="20"/>
              </w:rPr>
              <w:t>20</w:t>
            </w:r>
          </w:p>
        </w:tc>
        <w:tc>
          <w:tcPr>
            <w:tcW w:w="2326" w:type="dxa"/>
            <w:tcBorders>
              <w:top w:val="nil"/>
              <w:left w:val="single" w:sz="8" w:space="0" w:color="auto"/>
              <w:bottom w:val="single" w:sz="8" w:space="0" w:color="auto"/>
              <w:right w:val="single" w:sz="8" w:space="0" w:color="auto"/>
            </w:tcBorders>
            <w:shd w:val="clear" w:color="auto" w:fill="auto"/>
            <w:noWrap/>
            <w:vAlign w:val="center"/>
            <w:hideMark/>
          </w:tcPr>
          <w:p w14:paraId="65F7A832" w14:textId="7DE073B0" w:rsidR="00655057" w:rsidRPr="008E3FA9" w:rsidRDefault="00655057" w:rsidP="00655057">
            <w:pPr>
              <w:jc w:val="center"/>
              <w:rPr>
                <w:rFonts w:ascii="Calibri" w:hAnsi="Calibri" w:cs="Calibri"/>
                <w:sz w:val="20"/>
                <w:szCs w:val="20"/>
              </w:rPr>
            </w:pPr>
            <w:r w:rsidRPr="00402CBD">
              <w:rPr>
                <w:rFonts w:cstheme="minorHAnsi"/>
                <w:color w:val="000000"/>
                <w:sz w:val="20"/>
                <w:szCs w:val="20"/>
              </w:rPr>
              <w:t>170</w:t>
            </w:r>
          </w:p>
        </w:tc>
        <w:tc>
          <w:tcPr>
            <w:tcW w:w="744" w:type="dxa"/>
            <w:tcBorders>
              <w:top w:val="nil"/>
              <w:left w:val="nil"/>
              <w:bottom w:val="single" w:sz="8" w:space="0" w:color="auto"/>
              <w:right w:val="single" w:sz="8" w:space="0" w:color="auto"/>
            </w:tcBorders>
            <w:shd w:val="clear" w:color="auto" w:fill="auto"/>
            <w:noWrap/>
            <w:vAlign w:val="center"/>
          </w:tcPr>
          <w:p w14:paraId="68FC68EB" w14:textId="26938F7B" w:rsidR="00655057" w:rsidRPr="008E3FA9" w:rsidRDefault="00655057" w:rsidP="00655057">
            <w:pPr>
              <w:jc w:val="center"/>
              <w:rPr>
                <w:rFonts w:ascii="Calibri" w:hAnsi="Calibri" w:cs="Calibri"/>
                <w:sz w:val="20"/>
                <w:szCs w:val="20"/>
              </w:rPr>
            </w:pPr>
            <w:r w:rsidRPr="00402CBD">
              <w:rPr>
                <w:rFonts w:cstheme="minorHAnsi"/>
                <w:color w:val="000000"/>
                <w:sz w:val="20"/>
                <w:szCs w:val="20"/>
              </w:rPr>
              <w:t>190</w:t>
            </w:r>
          </w:p>
        </w:tc>
      </w:tr>
      <w:tr w:rsidR="00655057" w:rsidRPr="008E3FA9" w14:paraId="3EECA65D" w14:textId="77777777" w:rsidTr="00655057">
        <w:trPr>
          <w:trHeight w:val="288"/>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14:paraId="7F56E3A5" w14:textId="037D0DCC" w:rsidR="00655057" w:rsidRPr="008E3FA9" w:rsidRDefault="00655057" w:rsidP="00655057">
            <w:pPr>
              <w:rPr>
                <w:rFonts w:ascii="Calibri" w:hAnsi="Calibri" w:cs="Calibri"/>
                <w:sz w:val="20"/>
                <w:szCs w:val="20"/>
              </w:rPr>
            </w:pPr>
            <w:r w:rsidRPr="00402CBD">
              <w:rPr>
                <w:rFonts w:cstheme="minorHAnsi"/>
                <w:color w:val="000000"/>
                <w:sz w:val="20"/>
                <w:szCs w:val="20"/>
              </w:rPr>
              <w:t>Plants</w:t>
            </w:r>
          </w:p>
        </w:tc>
        <w:tc>
          <w:tcPr>
            <w:tcW w:w="862" w:type="dxa"/>
            <w:tcBorders>
              <w:top w:val="nil"/>
              <w:left w:val="nil"/>
              <w:bottom w:val="single" w:sz="8" w:space="0" w:color="auto"/>
              <w:right w:val="single" w:sz="8" w:space="0" w:color="auto"/>
            </w:tcBorders>
            <w:shd w:val="clear" w:color="auto" w:fill="auto"/>
            <w:vAlign w:val="center"/>
            <w:hideMark/>
          </w:tcPr>
          <w:p w14:paraId="43682BC0" w14:textId="2A8DDEE5" w:rsidR="00655057" w:rsidRPr="008E3FA9" w:rsidRDefault="00655057" w:rsidP="00655057">
            <w:pPr>
              <w:jc w:val="center"/>
              <w:rPr>
                <w:rFonts w:ascii="Calibri" w:hAnsi="Calibri" w:cs="Calibri"/>
                <w:sz w:val="20"/>
                <w:szCs w:val="20"/>
              </w:rPr>
            </w:pPr>
            <w:r w:rsidRPr="00402CBD">
              <w:rPr>
                <w:rFonts w:cstheme="minorHAnsi"/>
                <w:color w:val="000000"/>
                <w:sz w:val="20"/>
                <w:szCs w:val="20"/>
              </w:rPr>
              <w:t>497</w:t>
            </w:r>
          </w:p>
        </w:tc>
        <w:tc>
          <w:tcPr>
            <w:tcW w:w="1013" w:type="dxa"/>
            <w:tcBorders>
              <w:top w:val="nil"/>
              <w:left w:val="nil"/>
              <w:bottom w:val="single" w:sz="8" w:space="0" w:color="auto"/>
              <w:right w:val="nil"/>
            </w:tcBorders>
            <w:shd w:val="clear" w:color="auto" w:fill="auto"/>
            <w:vAlign w:val="center"/>
          </w:tcPr>
          <w:p w14:paraId="0E633381" w14:textId="43C4F29D" w:rsidR="00655057" w:rsidRPr="008E3FA9" w:rsidRDefault="00655057" w:rsidP="00655057">
            <w:pPr>
              <w:jc w:val="center"/>
              <w:rPr>
                <w:rFonts w:ascii="Calibri" w:hAnsi="Calibri" w:cs="Calibri"/>
                <w:sz w:val="20"/>
                <w:szCs w:val="20"/>
              </w:rPr>
            </w:pPr>
            <w:r w:rsidRPr="00402CBD">
              <w:rPr>
                <w:rFonts w:cstheme="minorHAnsi"/>
                <w:color w:val="000000"/>
                <w:sz w:val="20"/>
                <w:szCs w:val="20"/>
              </w:rPr>
              <w:t>451</w:t>
            </w:r>
          </w:p>
        </w:tc>
        <w:tc>
          <w:tcPr>
            <w:tcW w:w="2134" w:type="dxa"/>
            <w:tcBorders>
              <w:top w:val="nil"/>
              <w:left w:val="single" w:sz="8" w:space="0" w:color="auto"/>
              <w:bottom w:val="single" w:sz="8" w:space="0" w:color="auto"/>
              <w:right w:val="nil"/>
            </w:tcBorders>
            <w:shd w:val="clear" w:color="auto" w:fill="auto"/>
            <w:noWrap/>
            <w:vAlign w:val="center"/>
            <w:hideMark/>
          </w:tcPr>
          <w:p w14:paraId="0EBB8BAC" w14:textId="07110F23" w:rsidR="00655057" w:rsidRPr="008E3FA9" w:rsidRDefault="00655057" w:rsidP="00655057">
            <w:pPr>
              <w:jc w:val="center"/>
              <w:rPr>
                <w:rFonts w:ascii="Calibri" w:hAnsi="Calibri" w:cs="Calibri"/>
                <w:sz w:val="20"/>
                <w:szCs w:val="20"/>
              </w:rPr>
            </w:pPr>
            <w:r w:rsidRPr="00402CBD">
              <w:rPr>
                <w:rFonts w:cstheme="minorHAnsi"/>
                <w:color w:val="000000"/>
                <w:sz w:val="20"/>
                <w:szCs w:val="20"/>
              </w:rPr>
              <w:t>12</w:t>
            </w:r>
          </w:p>
        </w:tc>
        <w:tc>
          <w:tcPr>
            <w:tcW w:w="2326" w:type="dxa"/>
            <w:tcBorders>
              <w:top w:val="nil"/>
              <w:left w:val="single" w:sz="8" w:space="0" w:color="auto"/>
              <w:bottom w:val="single" w:sz="8" w:space="0" w:color="auto"/>
              <w:right w:val="single" w:sz="8" w:space="0" w:color="auto"/>
            </w:tcBorders>
            <w:shd w:val="clear" w:color="auto" w:fill="auto"/>
            <w:noWrap/>
            <w:vAlign w:val="center"/>
            <w:hideMark/>
          </w:tcPr>
          <w:p w14:paraId="4BE9F49D" w14:textId="72194228" w:rsidR="00655057" w:rsidRPr="008E3FA9" w:rsidRDefault="00655057" w:rsidP="00655057">
            <w:pPr>
              <w:jc w:val="center"/>
              <w:rPr>
                <w:rFonts w:ascii="Calibri" w:hAnsi="Calibri" w:cs="Calibri"/>
                <w:sz w:val="20"/>
                <w:szCs w:val="20"/>
              </w:rPr>
            </w:pPr>
            <w:r w:rsidRPr="00402CBD">
              <w:rPr>
                <w:rFonts w:cstheme="minorHAnsi"/>
                <w:color w:val="000000"/>
                <w:sz w:val="20"/>
                <w:szCs w:val="20"/>
              </w:rPr>
              <w:t>439</w:t>
            </w:r>
          </w:p>
        </w:tc>
        <w:tc>
          <w:tcPr>
            <w:tcW w:w="744" w:type="dxa"/>
            <w:tcBorders>
              <w:top w:val="nil"/>
              <w:left w:val="nil"/>
              <w:bottom w:val="single" w:sz="8" w:space="0" w:color="auto"/>
              <w:right w:val="single" w:sz="8" w:space="0" w:color="auto"/>
            </w:tcBorders>
            <w:shd w:val="clear" w:color="auto" w:fill="auto"/>
            <w:noWrap/>
            <w:vAlign w:val="center"/>
          </w:tcPr>
          <w:p w14:paraId="695A0E8A" w14:textId="3B2163C1" w:rsidR="00655057" w:rsidRPr="008E3FA9" w:rsidRDefault="00655057" w:rsidP="00655057">
            <w:pPr>
              <w:jc w:val="center"/>
              <w:rPr>
                <w:rFonts w:ascii="Calibri" w:hAnsi="Calibri" w:cs="Calibri"/>
                <w:sz w:val="20"/>
                <w:szCs w:val="20"/>
              </w:rPr>
            </w:pPr>
            <w:r w:rsidRPr="00402CBD">
              <w:rPr>
                <w:rFonts w:cstheme="minorHAnsi"/>
                <w:color w:val="000000"/>
                <w:sz w:val="20"/>
                <w:szCs w:val="20"/>
              </w:rPr>
              <w:t>948</w:t>
            </w:r>
          </w:p>
        </w:tc>
      </w:tr>
      <w:tr w:rsidR="00655057" w:rsidRPr="008E3FA9" w14:paraId="3C74A138" w14:textId="77777777" w:rsidTr="00655057">
        <w:trPr>
          <w:trHeight w:val="288"/>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14:paraId="17B71CA6" w14:textId="1A5D2BAC" w:rsidR="00655057" w:rsidRPr="008E3FA9" w:rsidRDefault="00655057" w:rsidP="00655057">
            <w:pPr>
              <w:rPr>
                <w:rFonts w:ascii="Calibri" w:hAnsi="Calibri" w:cs="Calibri"/>
                <w:sz w:val="20"/>
                <w:szCs w:val="20"/>
              </w:rPr>
            </w:pPr>
            <w:r w:rsidRPr="00402CBD">
              <w:rPr>
                <w:rFonts w:cstheme="minorHAnsi"/>
                <w:color w:val="000000"/>
                <w:sz w:val="20"/>
                <w:szCs w:val="20"/>
              </w:rPr>
              <w:t>Aquatic Invertebrates</w:t>
            </w:r>
          </w:p>
        </w:tc>
        <w:tc>
          <w:tcPr>
            <w:tcW w:w="862" w:type="dxa"/>
            <w:tcBorders>
              <w:top w:val="nil"/>
              <w:left w:val="nil"/>
              <w:bottom w:val="single" w:sz="8" w:space="0" w:color="auto"/>
              <w:right w:val="single" w:sz="8" w:space="0" w:color="auto"/>
            </w:tcBorders>
            <w:shd w:val="clear" w:color="auto" w:fill="auto"/>
            <w:vAlign w:val="center"/>
            <w:hideMark/>
          </w:tcPr>
          <w:p w14:paraId="66D2BE21" w14:textId="412C6E57" w:rsidR="00655057" w:rsidRPr="008E3FA9" w:rsidRDefault="00655057" w:rsidP="00655057">
            <w:pPr>
              <w:jc w:val="center"/>
              <w:rPr>
                <w:rFonts w:ascii="Calibri" w:hAnsi="Calibri" w:cs="Calibri"/>
                <w:sz w:val="20"/>
                <w:szCs w:val="20"/>
              </w:rPr>
            </w:pPr>
            <w:r w:rsidRPr="00402CBD">
              <w:rPr>
                <w:rFonts w:cstheme="minorHAnsi"/>
                <w:color w:val="000000"/>
                <w:sz w:val="20"/>
                <w:szCs w:val="20"/>
              </w:rPr>
              <w:t>10</w:t>
            </w:r>
          </w:p>
        </w:tc>
        <w:tc>
          <w:tcPr>
            <w:tcW w:w="1013" w:type="dxa"/>
            <w:tcBorders>
              <w:top w:val="nil"/>
              <w:left w:val="nil"/>
              <w:bottom w:val="single" w:sz="8" w:space="0" w:color="auto"/>
              <w:right w:val="nil"/>
            </w:tcBorders>
            <w:shd w:val="clear" w:color="auto" w:fill="auto"/>
            <w:vAlign w:val="center"/>
          </w:tcPr>
          <w:p w14:paraId="3DD4F02C" w14:textId="5344BF22" w:rsidR="00655057" w:rsidRPr="008E3FA9" w:rsidRDefault="00655057" w:rsidP="00655057">
            <w:pPr>
              <w:jc w:val="center"/>
              <w:rPr>
                <w:rFonts w:ascii="Calibri" w:hAnsi="Calibri" w:cs="Calibri"/>
                <w:sz w:val="20"/>
                <w:szCs w:val="20"/>
              </w:rPr>
            </w:pPr>
            <w:r w:rsidRPr="00402CBD">
              <w:rPr>
                <w:rFonts w:cstheme="minorHAnsi"/>
                <w:color w:val="000000"/>
                <w:sz w:val="20"/>
                <w:szCs w:val="20"/>
              </w:rPr>
              <w:t>197</w:t>
            </w:r>
          </w:p>
        </w:tc>
        <w:tc>
          <w:tcPr>
            <w:tcW w:w="2134" w:type="dxa"/>
            <w:tcBorders>
              <w:top w:val="nil"/>
              <w:left w:val="single" w:sz="8" w:space="0" w:color="auto"/>
              <w:bottom w:val="single" w:sz="8" w:space="0" w:color="auto"/>
              <w:right w:val="nil"/>
            </w:tcBorders>
            <w:shd w:val="clear" w:color="auto" w:fill="auto"/>
            <w:noWrap/>
            <w:vAlign w:val="center"/>
            <w:hideMark/>
          </w:tcPr>
          <w:p w14:paraId="2D0EAF50" w14:textId="3E14A3E1" w:rsidR="00655057" w:rsidRPr="008E3FA9" w:rsidRDefault="00655057" w:rsidP="00655057">
            <w:pPr>
              <w:jc w:val="center"/>
              <w:rPr>
                <w:rFonts w:ascii="Calibri" w:hAnsi="Calibri" w:cs="Calibri"/>
                <w:sz w:val="20"/>
                <w:szCs w:val="20"/>
              </w:rPr>
            </w:pPr>
            <w:r w:rsidRPr="00402CBD">
              <w:rPr>
                <w:rFonts w:cstheme="minorHAnsi"/>
                <w:color w:val="000000"/>
                <w:sz w:val="20"/>
                <w:szCs w:val="20"/>
              </w:rPr>
              <w:t>17</w:t>
            </w:r>
          </w:p>
        </w:tc>
        <w:tc>
          <w:tcPr>
            <w:tcW w:w="2326" w:type="dxa"/>
            <w:tcBorders>
              <w:top w:val="nil"/>
              <w:left w:val="single" w:sz="8" w:space="0" w:color="auto"/>
              <w:bottom w:val="single" w:sz="8" w:space="0" w:color="auto"/>
              <w:right w:val="single" w:sz="8" w:space="0" w:color="auto"/>
            </w:tcBorders>
            <w:shd w:val="clear" w:color="auto" w:fill="auto"/>
            <w:noWrap/>
            <w:vAlign w:val="center"/>
            <w:hideMark/>
          </w:tcPr>
          <w:p w14:paraId="2768560C" w14:textId="794D27E5" w:rsidR="00655057" w:rsidRPr="008E3FA9" w:rsidRDefault="00655057" w:rsidP="00655057">
            <w:pPr>
              <w:jc w:val="center"/>
              <w:rPr>
                <w:rFonts w:ascii="Calibri" w:hAnsi="Calibri" w:cs="Calibri"/>
                <w:sz w:val="20"/>
                <w:szCs w:val="20"/>
              </w:rPr>
            </w:pPr>
            <w:r w:rsidRPr="00402CBD">
              <w:rPr>
                <w:rFonts w:cstheme="minorHAnsi"/>
                <w:color w:val="000000"/>
                <w:sz w:val="20"/>
                <w:szCs w:val="20"/>
              </w:rPr>
              <w:t>180</w:t>
            </w:r>
          </w:p>
        </w:tc>
        <w:tc>
          <w:tcPr>
            <w:tcW w:w="744" w:type="dxa"/>
            <w:tcBorders>
              <w:top w:val="nil"/>
              <w:left w:val="nil"/>
              <w:bottom w:val="single" w:sz="8" w:space="0" w:color="auto"/>
              <w:right w:val="single" w:sz="8" w:space="0" w:color="auto"/>
            </w:tcBorders>
            <w:shd w:val="clear" w:color="auto" w:fill="auto"/>
            <w:noWrap/>
            <w:vAlign w:val="center"/>
          </w:tcPr>
          <w:p w14:paraId="68B9D6DC" w14:textId="4D6923BF" w:rsidR="00655057" w:rsidRPr="008E3FA9" w:rsidRDefault="00655057" w:rsidP="00655057">
            <w:pPr>
              <w:jc w:val="center"/>
              <w:rPr>
                <w:rFonts w:ascii="Calibri" w:hAnsi="Calibri" w:cs="Calibri"/>
                <w:sz w:val="20"/>
                <w:szCs w:val="20"/>
              </w:rPr>
            </w:pPr>
            <w:r w:rsidRPr="00402CBD">
              <w:rPr>
                <w:rFonts w:cstheme="minorHAnsi"/>
                <w:color w:val="000000"/>
                <w:sz w:val="20"/>
                <w:szCs w:val="20"/>
              </w:rPr>
              <w:t>207</w:t>
            </w:r>
          </w:p>
        </w:tc>
      </w:tr>
      <w:tr w:rsidR="00655057" w:rsidRPr="008E3FA9" w14:paraId="35A1887C" w14:textId="77777777" w:rsidTr="00655057">
        <w:trPr>
          <w:trHeight w:val="288"/>
        </w:trPr>
        <w:tc>
          <w:tcPr>
            <w:tcW w:w="1849" w:type="dxa"/>
            <w:tcBorders>
              <w:top w:val="nil"/>
              <w:left w:val="single" w:sz="8" w:space="0" w:color="auto"/>
              <w:bottom w:val="single" w:sz="8" w:space="0" w:color="auto"/>
              <w:right w:val="single" w:sz="8" w:space="0" w:color="auto"/>
            </w:tcBorders>
            <w:shd w:val="clear" w:color="auto" w:fill="auto"/>
            <w:noWrap/>
            <w:vAlign w:val="center"/>
            <w:hideMark/>
          </w:tcPr>
          <w:p w14:paraId="6159BF61" w14:textId="24B69049" w:rsidR="00655057" w:rsidRPr="008E3FA9" w:rsidRDefault="00655057" w:rsidP="00655057">
            <w:pPr>
              <w:rPr>
                <w:rFonts w:ascii="Calibri" w:hAnsi="Calibri" w:cs="Calibri"/>
                <w:sz w:val="20"/>
                <w:szCs w:val="20"/>
              </w:rPr>
            </w:pPr>
            <w:r w:rsidRPr="00402CBD">
              <w:rPr>
                <w:rFonts w:cstheme="minorHAnsi"/>
                <w:color w:val="000000"/>
                <w:sz w:val="20"/>
                <w:szCs w:val="20"/>
              </w:rPr>
              <w:t>Terrestrial Invertebrates</w:t>
            </w:r>
          </w:p>
        </w:tc>
        <w:tc>
          <w:tcPr>
            <w:tcW w:w="862" w:type="dxa"/>
            <w:tcBorders>
              <w:top w:val="nil"/>
              <w:left w:val="nil"/>
              <w:bottom w:val="single" w:sz="8" w:space="0" w:color="auto"/>
              <w:right w:val="single" w:sz="8" w:space="0" w:color="auto"/>
            </w:tcBorders>
            <w:shd w:val="clear" w:color="auto" w:fill="auto"/>
            <w:vAlign w:val="center"/>
            <w:hideMark/>
          </w:tcPr>
          <w:p w14:paraId="4B0FC481" w14:textId="06147097" w:rsidR="00655057" w:rsidRPr="008E3FA9" w:rsidRDefault="00655057" w:rsidP="00655057">
            <w:pPr>
              <w:jc w:val="center"/>
              <w:rPr>
                <w:rFonts w:ascii="Calibri" w:hAnsi="Calibri" w:cs="Calibri"/>
                <w:sz w:val="20"/>
                <w:szCs w:val="20"/>
              </w:rPr>
            </w:pPr>
            <w:r w:rsidRPr="00402CBD">
              <w:rPr>
                <w:rFonts w:cstheme="minorHAnsi"/>
                <w:color w:val="000000"/>
                <w:sz w:val="20"/>
                <w:szCs w:val="20"/>
              </w:rPr>
              <w:t>83</w:t>
            </w:r>
          </w:p>
        </w:tc>
        <w:tc>
          <w:tcPr>
            <w:tcW w:w="1013" w:type="dxa"/>
            <w:tcBorders>
              <w:top w:val="nil"/>
              <w:left w:val="nil"/>
              <w:bottom w:val="single" w:sz="8" w:space="0" w:color="auto"/>
              <w:right w:val="nil"/>
            </w:tcBorders>
            <w:shd w:val="clear" w:color="auto" w:fill="auto"/>
            <w:vAlign w:val="center"/>
          </w:tcPr>
          <w:p w14:paraId="36F261A7" w14:textId="217F29ED" w:rsidR="00655057" w:rsidRPr="008E3FA9" w:rsidRDefault="00655057" w:rsidP="00655057">
            <w:pPr>
              <w:jc w:val="center"/>
              <w:rPr>
                <w:rFonts w:ascii="Calibri" w:hAnsi="Calibri" w:cs="Calibri"/>
                <w:sz w:val="20"/>
                <w:szCs w:val="20"/>
              </w:rPr>
            </w:pPr>
            <w:r w:rsidRPr="00402CBD">
              <w:rPr>
                <w:rFonts w:cstheme="minorHAnsi"/>
                <w:color w:val="000000"/>
                <w:sz w:val="20"/>
                <w:szCs w:val="20"/>
              </w:rPr>
              <w:t>77</w:t>
            </w:r>
          </w:p>
        </w:tc>
        <w:tc>
          <w:tcPr>
            <w:tcW w:w="2134" w:type="dxa"/>
            <w:tcBorders>
              <w:top w:val="nil"/>
              <w:left w:val="single" w:sz="8" w:space="0" w:color="auto"/>
              <w:bottom w:val="single" w:sz="8" w:space="0" w:color="auto"/>
              <w:right w:val="nil"/>
            </w:tcBorders>
            <w:shd w:val="clear" w:color="auto" w:fill="auto"/>
            <w:noWrap/>
            <w:vAlign w:val="center"/>
            <w:hideMark/>
          </w:tcPr>
          <w:p w14:paraId="0B9926E0" w14:textId="6990DDB3" w:rsidR="00655057" w:rsidRPr="008E3FA9" w:rsidRDefault="00655057" w:rsidP="00655057">
            <w:pPr>
              <w:jc w:val="center"/>
              <w:rPr>
                <w:rFonts w:ascii="Calibri" w:hAnsi="Calibri" w:cs="Calibri"/>
                <w:sz w:val="20"/>
                <w:szCs w:val="20"/>
              </w:rPr>
            </w:pPr>
            <w:r w:rsidRPr="00402CBD">
              <w:rPr>
                <w:rFonts w:cstheme="minorHAnsi"/>
                <w:color w:val="000000"/>
                <w:sz w:val="20"/>
                <w:szCs w:val="20"/>
              </w:rPr>
              <w:t>21</w:t>
            </w:r>
          </w:p>
        </w:tc>
        <w:tc>
          <w:tcPr>
            <w:tcW w:w="2326" w:type="dxa"/>
            <w:tcBorders>
              <w:top w:val="nil"/>
              <w:left w:val="single" w:sz="8" w:space="0" w:color="auto"/>
              <w:bottom w:val="single" w:sz="8" w:space="0" w:color="auto"/>
              <w:right w:val="single" w:sz="8" w:space="0" w:color="auto"/>
            </w:tcBorders>
            <w:shd w:val="clear" w:color="auto" w:fill="auto"/>
            <w:noWrap/>
            <w:vAlign w:val="center"/>
            <w:hideMark/>
          </w:tcPr>
          <w:p w14:paraId="0D7525BC" w14:textId="19FF7E08" w:rsidR="00655057" w:rsidRPr="008E3FA9" w:rsidRDefault="00655057" w:rsidP="00655057">
            <w:pPr>
              <w:jc w:val="center"/>
              <w:rPr>
                <w:rFonts w:ascii="Calibri" w:hAnsi="Calibri" w:cs="Calibri"/>
                <w:sz w:val="20"/>
                <w:szCs w:val="20"/>
              </w:rPr>
            </w:pPr>
            <w:r w:rsidRPr="00402CBD">
              <w:rPr>
                <w:rFonts w:cstheme="minorHAnsi"/>
                <w:color w:val="000000"/>
                <w:sz w:val="20"/>
                <w:szCs w:val="20"/>
              </w:rPr>
              <w:t>56</w:t>
            </w:r>
          </w:p>
        </w:tc>
        <w:tc>
          <w:tcPr>
            <w:tcW w:w="744" w:type="dxa"/>
            <w:tcBorders>
              <w:top w:val="nil"/>
              <w:left w:val="nil"/>
              <w:bottom w:val="single" w:sz="8" w:space="0" w:color="auto"/>
              <w:right w:val="single" w:sz="8" w:space="0" w:color="auto"/>
            </w:tcBorders>
            <w:shd w:val="clear" w:color="auto" w:fill="auto"/>
            <w:noWrap/>
            <w:vAlign w:val="center"/>
          </w:tcPr>
          <w:p w14:paraId="62356646" w14:textId="0D3C22A3" w:rsidR="00655057" w:rsidRPr="008E3FA9" w:rsidRDefault="00655057" w:rsidP="00655057">
            <w:pPr>
              <w:jc w:val="center"/>
              <w:rPr>
                <w:rFonts w:ascii="Calibri" w:hAnsi="Calibri" w:cs="Calibri"/>
                <w:sz w:val="20"/>
                <w:szCs w:val="20"/>
              </w:rPr>
            </w:pPr>
            <w:r w:rsidRPr="00402CBD">
              <w:rPr>
                <w:rFonts w:cstheme="minorHAnsi"/>
                <w:color w:val="000000"/>
                <w:sz w:val="20"/>
                <w:szCs w:val="20"/>
              </w:rPr>
              <w:t>160</w:t>
            </w:r>
          </w:p>
        </w:tc>
      </w:tr>
      <w:tr w:rsidR="00655057" w:rsidRPr="008E3FA9" w14:paraId="134DE155" w14:textId="77777777" w:rsidTr="00655057">
        <w:trPr>
          <w:trHeight w:val="288"/>
        </w:trPr>
        <w:tc>
          <w:tcPr>
            <w:tcW w:w="1849" w:type="dxa"/>
            <w:tcBorders>
              <w:top w:val="nil"/>
              <w:left w:val="single" w:sz="8" w:space="0" w:color="auto"/>
              <w:bottom w:val="single" w:sz="8" w:space="0" w:color="auto"/>
              <w:right w:val="single" w:sz="8" w:space="0" w:color="auto"/>
            </w:tcBorders>
            <w:shd w:val="clear" w:color="000000" w:fill="D9D9D9"/>
            <w:noWrap/>
            <w:vAlign w:val="center"/>
            <w:hideMark/>
          </w:tcPr>
          <w:p w14:paraId="10FDDCF5" w14:textId="20E5B349" w:rsidR="00655057" w:rsidRPr="008E3FA9" w:rsidRDefault="00655057" w:rsidP="00655057">
            <w:pPr>
              <w:rPr>
                <w:rFonts w:ascii="Calibri" w:hAnsi="Calibri" w:cs="Calibri"/>
                <w:sz w:val="20"/>
                <w:szCs w:val="20"/>
              </w:rPr>
            </w:pPr>
            <w:r w:rsidRPr="00402CBD">
              <w:rPr>
                <w:rFonts w:cstheme="minorHAnsi"/>
                <w:color w:val="000000"/>
                <w:sz w:val="20"/>
                <w:szCs w:val="20"/>
              </w:rPr>
              <w:t>Total</w:t>
            </w:r>
          </w:p>
        </w:tc>
        <w:tc>
          <w:tcPr>
            <w:tcW w:w="862" w:type="dxa"/>
            <w:tcBorders>
              <w:top w:val="nil"/>
              <w:left w:val="nil"/>
              <w:bottom w:val="single" w:sz="8" w:space="0" w:color="auto"/>
              <w:right w:val="single" w:sz="8" w:space="0" w:color="auto"/>
            </w:tcBorders>
            <w:shd w:val="clear" w:color="000000" w:fill="D9D9D9"/>
            <w:vAlign w:val="center"/>
          </w:tcPr>
          <w:p w14:paraId="761269A9" w14:textId="6FA35A75" w:rsidR="00655057" w:rsidRPr="008E3FA9" w:rsidRDefault="00655057" w:rsidP="00655057">
            <w:pPr>
              <w:jc w:val="center"/>
              <w:rPr>
                <w:rFonts w:ascii="Calibri" w:hAnsi="Calibri" w:cs="Calibri"/>
                <w:sz w:val="20"/>
                <w:szCs w:val="20"/>
              </w:rPr>
            </w:pPr>
            <w:r w:rsidRPr="00402CBD">
              <w:rPr>
                <w:rFonts w:cstheme="minorHAnsi"/>
                <w:color w:val="000000"/>
                <w:sz w:val="20"/>
                <w:szCs w:val="20"/>
              </w:rPr>
              <w:t>676</w:t>
            </w:r>
          </w:p>
        </w:tc>
        <w:tc>
          <w:tcPr>
            <w:tcW w:w="1013" w:type="dxa"/>
            <w:tcBorders>
              <w:top w:val="nil"/>
              <w:left w:val="nil"/>
              <w:bottom w:val="single" w:sz="8" w:space="0" w:color="auto"/>
              <w:right w:val="single" w:sz="8" w:space="0" w:color="auto"/>
            </w:tcBorders>
            <w:shd w:val="clear" w:color="000000" w:fill="D9D9D9"/>
            <w:vAlign w:val="center"/>
          </w:tcPr>
          <w:p w14:paraId="3B6C5D40" w14:textId="5FC7B5AD" w:rsidR="00655057" w:rsidRPr="008E3FA9" w:rsidRDefault="00655057" w:rsidP="00655057">
            <w:pPr>
              <w:jc w:val="center"/>
              <w:rPr>
                <w:rFonts w:ascii="Calibri" w:hAnsi="Calibri" w:cs="Calibri"/>
                <w:sz w:val="20"/>
                <w:szCs w:val="20"/>
              </w:rPr>
            </w:pPr>
            <w:r w:rsidRPr="00402CBD">
              <w:rPr>
                <w:rFonts w:cstheme="minorHAnsi"/>
                <w:color w:val="000000"/>
                <w:sz w:val="20"/>
                <w:szCs w:val="20"/>
              </w:rPr>
              <w:t>1119</w:t>
            </w:r>
          </w:p>
        </w:tc>
        <w:tc>
          <w:tcPr>
            <w:tcW w:w="2134" w:type="dxa"/>
            <w:tcBorders>
              <w:top w:val="nil"/>
              <w:left w:val="nil"/>
              <w:bottom w:val="single" w:sz="8" w:space="0" w:color="auto"/>
              <w:right w:val="single" w:sz="8" w:space="0" w:color="auto"/>
            </w:tcBorders>
            <w:shd w:val="clear" w:color="000000" w:fill="D9D9D9"/>
            <w:noWrap/>
            <w:vAlign w:val="center"/>
          </w:tcPr>
          <w:p w14:paraId="4742269C" w14:textId="6DF1A45A" w:rsidR="00655057" w:rsidRPr="008E3FA9" w:rsidRDefault="00655057" w:rsidP="00655057">
            <w:pPr>
              <w:jc w:val="center"/>
              <w:rPr>
                <w:rFonts w:ascii="Calibri" w:hAnsi="Calibri" w:cs="Calibri"/>
                <w:sz w:val="20"/>
                <w:szCs w:val="20"/>
              </w:rPr>
            </w:pPr>
            <w:r w:rsidRPr="00402CBD">
              <w:rPr>
                <w:rFonts w:cstheme="minorHAnsi"/>
                <w:color w:val="000000"/>
                <w:sz w:val="20"/>
                <w:szCs w:val="20"/>
              </w:rPr>
              <w:t>106</w:t>
            </w:r>
          </w:p>
        </w:tc>
        <w:tc>
          <w:tcPr>
            <w:tcW w:w="2326" w:type="dxa"/>
            <w:tcBorders>
              <w:top w:val="nil"/>
              <w:left w:val="nil"/>
              <w:bottom w:val="single" w:sz="8" w:space="0" w:color="auto"/>
              <w:right w:val="single" w:sz="8" w:space="0" w:color="auto"/>
            </w:tcBorders>
            <w:shd w:val="clear" w:color="000000" w:fill="D9D9D9"/>
            <w:noWrap/>
            <w:vAlign w:val="center"/>
          </w:tcPr>
          <w:p w14:paraId="4FCFF7A7" w14:textId="72C2AA3D" w:rsidR="00655057" w:rsidRPr="008E3FA9" w:rsidRDefault="00655057" w:rsidP="00655057">
            <w:pPr>
              <w:jc w:val="center"/>
              <w:rPr>
                <w:rFonts w:ascii="Calibri" w:hAnsi="Calibri" w:cs="Calibri"/>
                <w:sz w:val="20"/>
                <w:szCs w:val="20"/>
              </w:rPr>
            </w:pPr>
            <w:r w:rsidRPr="00402CBD">
              <w:rPr>
                <w:rFonts w:cstheme="minorHAnsi"/>
                <w:color w:val="000000"/>
                <w:sz w:val="20"/>
                <w:szCs w:val="20"/>
              </w:rPr>
              <w:t>1013</w:t>
            </w:r>
          </w:p>
        </w:tc>
        <w:tc>
          <w:tcPr>
            <w:tcW w:w="744" w:type="dxa"/>
            <w:tcBorders>
              <w:top w:val="nil"/>
              <w:left w:val="nil"/>
              <w:bottom w:val="single" w:sz="8" w:space="0" w:color="auto"/>
              <w:right w:val="single" w:sz="8" w:space="0" w:color="auto"/>
            </w:tcBorders>
            <w:shd w:val="clear" w:color="000000" w:fill="D9D9D9"/>
            <w:noWrap/>
            <w:vAlign w:val="center"/>
          </w:tcPr>
          <w:p w14:paraId="785C985B" w14:textId="621F8364" w:rsidR="00655057" w:rsidRPr="008E3FA9" w:rsidRDefault="00655057" w:rsidP="00655057">
            <w:pPr>
              <w:jc w:val="center"/>
              <w:rPr>
                <w:rFonts w:ascii="Calibri" w:hAnsi="Calibri" w:cs="Calibri"/>
                <w:sz w:val="20"/>
                <w:szCs w:val="20"/>
              </w:rPr>
            </w:pPr>
            <w:r w:rsidRPr="00402CBD">
              <w:rPr>
                <w:rFonts w:cstheme="minorHAnsi"/>
                <w:color w:val="000000"/>
                <w:sz w:val="20"/>
                <w:szCs w:val="20"/>
              </w:rPr>
              <w:t>1795</w:t>
            </w:r>
          </w:p>
        </w:tc>
      </w:tr>
      <w:tr w:rsidR="00655057" w:rsidRPr="008E3FA9" w14:paraId="12728DAD" w14:textId="77777777" w:rsidTr="00655057">
        <w:trPr>
          <w:trHeight w:val="288"/>
        </w:trPr>
        <w:tc>
          <w:tcPr>
            <w:tcW w:w="1849" w:type="dxa"/>
            <w:tcBorders>
              <w:top w:val="nil"/>
              <w:left w:val="single" w:sz="8" w:space="0" w:color="auto"/>
              <w:bottom w:val="single" w:sz="8" w:space="0" w:color="auto"/>
              <w:right w:val="single" w:sz="8" w:space="0" w:color="auto"/>
            </w:tcBorders>
            <w:shd w:val="clear" w:color="000000" w:fill="D9D9D9"/>
            <w:noWrap/>
            <w:vAlign w:val="center"/>
            <w:hideMark/>
          </w:tcPr>
          <w:p w14:paraId="2DCA408A" w14:textId="25EF482D" w:rsidR="00655057" w:rsidRPr="008E3FA9" w:rsidRDefault="00655057" w:rsidP="00655057">
            <w:pPr>
              <w:rPr>
                <w:rFonts w:ascii="Calibri" w:hAnsi="Calibri" w:cs="Calibri"/>
                <w:sz w:val="20"/>
                <w:szCs w:val="20"/>
              </w:rPr>
            </w:pPr>
            <w:r w:rsidRPr="00402CBD">
              <w:rPr>
                <w:rFonts w:cstheme="minorHAnsi"/>
                <w:color w:val="000000"/>
                <w:sz w:val="20"/>
                <w:szCs w:val="20"/>
              </w:rPr>
              <w:t>Percent of total</w:t>
            </w:r>
          </w:p>
        </w:tc>
        <w:tc>
          <w:tcPr>
            <w:tcW w:w="862" w:type="dxa"/>
            <w:tcBorders>
              <w:top w:val="nil"/>
              <w:left w:val="nil"/>
              <w:bottom w:val="single" w:sz="8" w:space="0" w:color="auto"/>
              <w:right w:val="single" w:sz="8" w:space="0" w:color="auto"/>
            </w:tcBorders>
            <w:shd w:val="clear" w:color="000000" w:fill="D9D9D9"/>
            <w:noWrap/>
            <w:vAlign w:val="center"/>
          </w:tcPr>
          <w:p w14:paraId="431AACA0" w14:textId="010F1708" w:rsidR="00655057" w:rsidRPr="008E3FA9" w:rsidRDefault="00655057" w:rsidP="00655057">
            <w:pPr>
              <w:jc w:val="center"/>
              <w:rPr>
                <w:rFonts w:ascii="Calibri" w:hAnsi="Calibri" w:cs="Calibri"/>
                <w:sz w:val="20"/>
                <w:szCs w:val="20"/>
                <w:highlight w:val="yellow"/>
              </w:rPr>
            </w:pPr>
            <w:r w:rsidRPr="00402CBD">
              <w:rPr>
                <w:rFonts w:cstheme="minorHAnsi"/>
                <w:color w:val="000000"/>
                <w:sz w:val="20"/>
                <w:szCs w:val="20"/>
              </w:rPr>
              <w:t>38%</w:t>
            </w:r>
          </w:p>
        </w:tc>
        <w:tc>
          <w:tcPr>
            <w:tcW w:w="1013" w:type="dxa"/>
            <w:tcBorders>
              <w:top w:val="nil"/>
              <w:left w:val="nil"/>
              <w:bottom w:val="single" w:sz="8" w:space="0" w:color="auto"/>
              <w:right w:val="single" w:sz="8" w:space="0" w:color="auto"/>
            </w:tcBorders>
            <w:shd w:val="clear" w:color="000000" w:fill="D9D9D9"/>
            <w:noWrap/>
            <w:vAlign w:val="center"/>
          </w:tcPr>
          <w:p w14:paraId="715D3C55" w14:textId="1E6E3D51" w:rsidR="00655057" w:rsidRPr="008E3FA9" w:rsidRDefault="00655057" w:rsidP="00655057">
            <w:pPr>
              <w:jc w:val="center"/>
              <w:rPr>
                <w:rFonts w:ascii="Calibri" w:hAnsi="Calibri" w:cs="Calibri"/>
                <w:sz w:val="20"/>
                <w:szCs w:val="20"/>
                <w:highlight w:val="yellow"/>
              </w:rPr>
            </w:pPr>
            <w:r w:rsidRPr="00402CBD">
              <w:rPr>
                <w:rFonts w:cstheme="minorHAnsi"/>
                <w:color w:val="000000"/>
                <w:sz w:val="20"/>
                <w:szCs w:val="20"/>
              </w:rPr>
              <w:t>62%</w:t>
            </w:r>
          </w:p>
        </w:tc>
        <w:tc>
          <w:tcPr>
            <w:tcW w:w="2134" w:type="dxa"/>
            <w:tcBorders>
              <w:top w:val="nil"/>
              <w:left w:val="nil"/>
              <w:bottom w:val="single" w:sz="8" w:space="0" w:color="auto"/>
              <w:right w:val="single" w:sz="8" w:space="0" w:color="auto"/>
            </w:tcBorders>
            <w:shd w:val="clear" w:color="000000" w:fill="D9D9D9"/>
            <w:noWrap/>
            <w:vAlign w:val="center"/>
          </w:tcPr>
          <w:p w14:paraId="20E06A4A" w14:textId="6DF4AE10" w:rsidR="00655057" w:rsidRPr="008E3FA9" w:rsidRDefault="00655057" w:rsidP="00655057">
            <w:pPr>
              <w:jc w:val="center"/>
              <w:rPr>
                <w:rFonts w:ascii="Calibri" w:hAnsi="Calibri" w:cs="Calibri"/>
                <w:sz w:val="20"/>
                <w:szCs w:val="20"/>
                <w:highlight w:val="yellow"/>
              </w:rPr>
            </w:pPr>
            <w:r w:rsidRPr="00402CBD">
              <w:rPr>
                <w:rFonts w:cstheme="minorHAnsi"/>
                <w:color w:val="000000"/>
                <w:sz w:val="20"/>
                <w:szCs w:val="20"/>
              </w:rPr>
              <w:t>6%</w:t>
            </w:r>
          </w:p>
        </w:tc>
        <w:tc>
          <w:tcPr>
            <w:tcW w:w="2326" w:type="dxa"/>
            <w:tcBorders>
              <w:top w:val="nil"/>
              <w:left w:val="nil"/>
              <w:bottom w:val="single" w:sz="8" w:space="0" w:color="auto"/>
              <w:right w:val="single" w:sz="8" w:space="0" w:color="auto"/>
            </w:tcBorders>
            <w:shd w:val="clear" w:color="000000" w:fill="D9D9D9"/>
            <w:noWrap/>
            <w:vAlign w:val="center"/>
          </w:tcPr>
          <w:p w14:paraId="5C5A5174" w14:textId="7FECAA35" w:rsidR="00655057" w:rsidRPr="008E3FA9" w:rsidRDefault="00655057" w:rsidP="00655057">
            <w:pPr>
              <w:jc w:val="center"/>
              <w:rPr>
                <w:rFonts w:ascii="Calibri" w:hAnsi="Calibri" w:cs="Calibri"/>
                <w:sz w:val="20"/>
                <w:szCs w:val="20"/>
                <w:highlight w:val="yellow"/>
              </w:rPr>
            </w:pPr>
            <w:r w:rsidRPr="00402CBD">
              <w:rPr>
                <w:rFonts w:cstheme="minorHAnsi"/>
                <w:color w:val="000000"/>
                <w:sz w:val="20"/>
                <w:szCs w:val="20"/>
              </w:rPr>
              <w:t>56%</w:t>
            </w:r>
          </w:p>
        </w:tc>
        <w:tc>
          <w:tcPr>
            <w:tcW w:w="744" w:type="dxa"/>
            <w:tcBorders>
              <w:top w:val="nil"/>
              <w:left w:val="nil"/>
              <w:bottom w:val="single" w:sz="8" w:space="0" w:color="auto"/>
              <w:right w:val="single" w:sz="8" w:space="0" w:color="auto"/>
            </w:tcBorders>
            <w:shd w:val="clear" w:color="000000" w:fill="D9D9D9"/>
            <w:noWrap/>
            <w:vAlign w:val="center"/>
            <w:hideMark/>
          </w:tcPr>
          <w:p w14:paraId="0FF3AE4E" w14:textId="0A7DA7BD" w:rsidR="00655057" w:rsidRPr="008E3FA9" w:rsidRDefault="00655057" w:rsidP="00655057">
            <w:pPr>
              <w:jc w:val="center"/>
              <w:rPr>
                <w:rFonts w:ascii="Calibri" w:hAnsi="Calibri" w:cs="Calibri"/>
                <w:sz w:val="20"/>
                <w:szCs w:val="20"/>
                <w:highlight w:val="yellow"/>
              </w:rPr>
            </w:pPr>
            <w:r w:rsidRPr="00402CBD">
              <w:rPr>
                <w:rFonts w:cstheme="minorHAnsi"/>
                <w:color w:val="000000"/>
                <w:sz w:val="20"/>
                <w:szCs w:val="20"/>
              </w:rPr>
              <w:t> </w:t>
            </w:r>
          </w:p>
        </w:tc>
      </w:tr>
    </w:tbl>
    <w:p w14:paraId="76FEDEE5" w14:textId="34198DA7" w:rsidR="00B408AC" w:rsidRPr="003C3C6D" w:rsidRDefault="00B408AC" w:rsidP="00B408AC">
      <w:pPr>
        <w:rPr>
          <w:b/>
        </w:rPr>
      </w:pPr>
      <w:r w:rsidRPr="003C3C6D">
        <w:rPr>
          <w:b/>
        </w:rPr>
        <w:lastRenderedPageBreak/>
        <w:t>T</w:t>
      </w:r>
      <w:r>
        <w:rPr>
          <w:b/>
        </w:rPr>
        <w:t>able</w:t>
      </w:r>
      <w:r w:rsidRPr="003C3C6D">
        <w:rPr>
          <w:b/>
        </w:rPr>
        <w:t xml:space="preserve"> </w:t>
      </w:r>
      <w:r>
        <w:rPr>
          <w:b/>
        </w:rPr>
        <w:t>2.</w:t>
      </w:r>
      <w:r w:rsidRPr="003C3C6D">
        <w:rPr>
          <w:b/>
        </w:rPr>
        <w:t xml:space="preserve"> Summary of Critical Habitat Effects Determinations for </w:t>
      </w:r>
      <w:r w:rsidR="005A7CEB">
        <w:rPr>
          <w:b/>
        </w:rPr>
        <w:t>Atrazine</w:t>
      </w:r>
      <w:r w:rsidRPr="003C3C6D">
        <w:rPr>
          <w:b/>
        </w:rPr>
        <w:t xml:space="preserve"> (Counts by Taxon).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1018"/>
        <w:gridCol w:w="947"/>
        <w:gridCol w:w="2230"/>
        <w:gridCol w:w="2113"/>
        <w:gridCol w:w="974"/>
      </w:tblGrid>
      <w:tr w:rsidR="00B408AC" w:rsidRPr="008E3FA9" w14:paraId="797B2E54" w14:textId="77777777" w:rsidTr="00655057">
        <w:trPr>
          <w:trHeight w:val="288"/>
        </w:trPr>
        <w:tc>
          <w:tcPr>
            <w:tcW w:w="1646" w:type="dxa"/>
            <w:vMerge w:val="restart"/>
            <w:shd w:val="clear" w:color="auto" w:fill="D9D9D9" w:themeFill="background1" w:themeFillShade="D9"/>
            <w:noWrap/>
            <w:vAlign w:val="center"/>
            <w:hideMark/>
          </w:tcPr>
          <w:p w14:paraId="2AB9FBD1" w14:textId="77777777" w:rsidR="00B408AC" w:rsidRPr="008E3FA9" w:rsidRDefault="00B408AC" w:rsidP="00EB21F7">
            <w:pPr>
              <w:jc w:val="center"/>
              <w:rPr>
                <w:rFonts w:cstheme="minorHAnsi"/>
                <w:b/>
                <w:sz w:val="20"/>
                <w:szCs w:val="20"/>
              </w:rPr>
            </w:pPr>
            <w:r w:rsidRPr="008E3FA9">
              <w:rPr>
                <w:rFonts w:cstheme="minorHAnsi"/>
                <w:b/>
                <w:sz w:val="20"/>
                <w:szCs w:val="20"/>
              </w:rPr>
              <w:t>Taxon</w:t>
            </w:r>
          </w:p>
        </w:tc>
        <w:tc>
          <w:tcPr>
            <w:tcW w:w="1965" w:type="dxa"/>
            <w:gridSpan w:val="2"/>
            <w:shd w:val="clear" w:color="auto" w:fill="D9D9D9" w:themeFill="background1" w:themeFillShade="D9"/>
            <w:vAlign w:val="center"/>
            <w:hideMark/>
          </w:tcPr>
          <w:p w14:paraId="3BFE47E2" w14:textId="77777777" w:rsidR="00B408AC" w:rsidRPr="008E3FA9" w:rsidRDefault="00B408AC" w:rsidP="00EB21F7">
            <w:pPr>
              <w:jc w:val="center"/>
              <w:rPr>
                <w:rFonts w:cstheme="minorHAnsi"/>
                <w:b/>
                <w:sz w:val="20"/>
                <w:szCs w:val="20"/>
              </w:rPr>
            </w:pPr>
            <w:r w:rsidRPr="008E3FA9">
              <w:rPr>
                <w:rFonts w:cstheme="minorHAnsi"/>
                <w:b/>
                <w:sz w:val="20"/>
                <w:szCs w:val="20"/>
              </w:rPr>
              <w:t>Step 1 Effects Determinations</w:t>
            </w:r>
          </w:p>
        </w:tc>
        <w:tc>
          <w:tcPr>
            <w:tcW w:w="4343" w:type="dxa"/>
            <w:gridSpan w:val="2"/>
            <w:shd w:val="clear" w:color="auto" w:fill="D9D9D9" w:themeFill="background1" w:themeFillShade="D9"/>
            <w:noWrap/>
            <w:vAlign w:val="center"/>
            <w:hideMark/>
          </w:tcPr>
          <w:p w14:paraId="25188378" w14:textId="77777777" w:rsidR="00B408AC" w:rsidRPr="008E3FA9" w:rsidRDefault="00B408AC" w:rsidP="00EB21F7">
            <w:pPr>
              <w:jc w:val="center"/>
              <w:rPr>
                <w:rFonts w:cstheme="minorHAnsi"/>
                <w:b/>
                <w:sz w:val="20"/>
                <w:szCs w:val="20"/>
              </w:rPr>
            </w:pPr>
            <w:r w:rsidRPr="008E3FA9">
              <w:rPr>
                <w:rFonts w:cstheme="minorHAnsi"/>
                <w:b/>
                <w:sz w:val="20"/>
                <w:szCs w:val="20"/>
              </w:rPr>
              <w:t>Step 2 Effects Determinations</w:t>
            </w:r>
          </w:p>
        </w:tc>
        <w:tc>
          <w:tcPr>
            <w:tcW w:w="974" w:type="dxa"/>
            <w:vMerge w:val="restart"/>
            <w:shd w:val="clear" w:color="auto" w:fill="D9D9D9" w:themeFill="background1" w:themeFillShade="D9"/>
            <w:noWrap/>
            <w:vAlign w:val="center"/>
            <w:hideMark/>
          </w:tcPr>
          <w:p w14:paraId="38784851" w14:textId="77777777" w:rsidR="00B408AC" w:rsidRPr="008E3FA9" w:rsidRDefault="00B408AC" w:rsidP="00EB21F7">
            <w:pPr>
              <w:jc w:val="center"/>
              <w:rPr>
                <w:rFonts w:cstheme="minorHAnsi"/>
                <w:b/>
                <w:sz w:val="20"/>
                <w:szCs w:val="20"/>
              </w:rPr>
            </w:pPr>
            <w:r w:rsidRPr="008E3FA9">
              <w:rPr>
                <w:rFonts w:cstheme="minorHAnsi"/>
                <w:b/>
                <w:sz w:val="20"/>
                <w:szCs w:val="20"/>
              </w:rPr>
              <w:t>Totals</w:t>
            </w:r>
          </w:p>
        </w:tc>
      </w:tr>
      <w:tr w:rsidR="00B408AC" w:rsidRPr="008E3FA9" w14:paraId="1A593697" w14:textId="77777777" w:rsidTr="00655057">
        <w:trPr>
          <w:trHeight w:val="288"/>
        </w:trPr>
        <w:tc>
          <w:tcPr>
            <w:tcW w:w="1646" w:type="dxa"/>
            <w:vMerge/>
            <w:vAlign w:val="center"/>
            <w:hideMark/>
          </w:tcPr>
          <w:p w14:paraId="05AD43BB" w14:textId="77777777" w:rsidR="00B408AC" w:rsidRPr="008E3FA9" w:rsidRDefault="00B408AC" w:rsidP="00EB21F7">
            <w:pPr>
              <w:rPr>
                <w:rFonts w:cstheme="minorHAnsi"/>
                <w:b/>
                <w:sz w:val="20"/>
                <w:szCs w:val="20"/>
              </w:rPr>
            </w:pPr>
          </w:p>
        </w:tc>
        <w:tc>
          <w:tcPr>
            <w:tcW w:w="1018" w:type="dxa"/>
            <w:shd w:val="clear" w:color="auto" w:fill="D9D9D9" w:themeFill="background1" w:themeFillShade="D9"/>
            <w:vAlign w:val="center"/>
            <w:hideMark/>
          </w:tcPr>
          <w:p w14:paraId="630C101C" w14:textId="77777777" w:rsidR="00B408AC" w:rsidRPr="008E3FA9" w:rsidRDefault="00B408AC" w:rsidP="00EB21F7">
            <w:pPr>
              <w:jc w:val="center"/>
              <w:rPr>
                <w:rFonts w:cstheme="minorHAnsi"/>
                <w:b/>
                <w:sz w:val="20"/>
                <w:szCs w:val="20"/>
              </w:rPr>
            </w:pPr>
            <w:r w:rsidRPr="008E3FA9">
              <w:rPr>
                <w:rFonts w:cstheme="minorHAnsi"/>
                <w:b/>
                <w:sz w:val="20"/>
                <w:szCs w:val="20"/>
              </w:rPr>
              <w:t>No Effect</w:t>
            </w:r>
          </w:p>
        </w:tc>
        <w:tc>
          <w:tcPr>
            <w:tcW w:w="947" w:type="dxa"/>
            <w:shd w:val="clear" w:color="auto" w:fill="D9D9D9" w:themeFill="background1" w:themeFillShade="D9"/>
            <w:vAlign w:val="center"/>
            <w:hideMark/>
          </w:tcPr>
          <w:p w14:paraId="60D2DE55" w14:textId="77777777" w:rsidR="00B408AC" w:rsidRPr="008E3FA9" w:rsidRDefault="00B408AC" w:rsidP="00EB21F7">
            <w:pPr>
              <w:jc w:val="center"/>
              <w:rPr>
                <w:rFonts w:cstheme="minorHAnsi"/>
                <w:b/>
                <w:sz w:val="20"/>
                <w:szCs w:val="20"/>
              </w:rPr>
            </w:pPr>
            <w:r w:rsidRPr="008E3FA9">
              <w:rPr>
                <w:rFonts w:cstheme="minorHAnsi"/>
                <w:b/>
                <w:sz w:val="20"/>
                <w:szCs w:val="20"/>
              </w:rPr>
              <w:t>May Affect</w:t>
            </w:r>
          </w:p>
        </w:tc>
        <w:tc>
          <w:tcPr>
            <w:tcW w:w="2230" w:type="dxa"/>
            <w:shd w:val="clear" w:color="auto" w:fill="D9D9D9" w:themeFill="background1" w:themeFillShade="D9"/>
            <w:noWrap/>
            <w:vAlign w:val="center"/>
            <w:hideMark/>
          </w:tcPr>
          <w:p w14:paraId="14A84CC1" w14:textId="77777777" w:rsidR="00B408AC" w:rsidRPr="008E3FA9" w:rsidRDefault="00B408AC" w:rsidP="00EB21F7">
            <w:pPr>
              <w:jc w:val="center"/>
              <w:rPr>
                <w:rFonts w:cstheme="minorHAnsi"/>
                <w:b/>
                <w:sz w:val="20"/>
                <w:szCs w:val="20"/>
              </w:rPr>
            </w:pPr>
            <w:r w:rsidRPr="008E3FA9">
              <w:rPr>
                <w:rFonts w:cstheme="minorHAnsi"/>
                <w:b/>
                <w:sz w:val="20"/>
                <w:szCs w:val="20"/>
              </w:rPr>
              <w:t>Not Likely to Adversely Affect</w:t>
            </w:r>
          </w:p>
        </w:tc>
        <w:tc>
          <w:tcPr>
            <w:tcW w:w="2113" w:type="dxa"/>
            <w:shd w:val="clear" w:color="auto" w:fill="D9D9D9" w:themeFill="background1" w:themeFillShade="D9"/>
            <w:noWrap/>
            <w:vAlign w:val="center"/>
            <w:hideMark/>
          </w:tcPr>
          <w:p w14:paraId="179554D8" w14:textId="77777777" w:rsidR="00B408AC" w:rsidRPr="008E3FA9" w:rsidRDefault="00B408AC" w:rsidP="00EB21F7">
            <w:pPr>
              <w:jc w:val="center"/>
              <w:rPr>
                <w:rFonts w:cstheme="minorHAnsi"/>
                <w:b/>
                <w:sz w:val="20"/>
                <w:szCs w:val="20"/>
              </w:rPr>
            </w:pPr>
            <w:r w:rsidRPr="008E3FA9">
              <w:rPr>
                <w:rFonts w:cstheme="minorHAnsi"/>
                <w:b/>
                <w:sz w:val="20"/>
                <w:szCs w:val="20"/>
              </w:rPr>
              <w:t>Likely to Adversely Affect</w:t>
            </w:r>
          </w:p>
        </w:tc>
        <w:tc>
          <w:tcPr>
            <w:tcW w:w="974" w:type="dxa"/>
            <w:vMerge/>
            <w:vAlign w:val="center"/>
            <w:hideMark/>
          </w:tcPr>
          <w:p w14:paraId="56E495F2" w14:textId="77777777" w:rsidR="00B408AC" w:rsidRPr="008E3FA9" w:rsidRDefault="00B408AC" w:rsidP="00EB21F7">
            <w:pPr>
              <w:rPr>
                <w:rFonts w:cstheme="minorHAnsi"/>
                <w:b/>
                <w:sz w:val="20"/>
                <w:szCs w:val="20"/>
              </w:rPr>
            </w:pPr>
          </w:p>
        </w:tc>
      </w:tr>
      <w:tr w:rsidR="00655057" w:rsidRPr="008E3FA9" w14:paraId="3E001567" w14:textId="77777777" w:rsidTr="00655057">
        <w:trPr>
          <w:trHeight w:val="288"/>
        </w:trPr>
        <w:tc>
          <w:tcPr>
            <w:tcW w:w="1646" w:type="dxa"/>
            <w:tcBorders>
              <w:top w:val="nil"/>
              <w:left w:val="single" w:sz="8" w:space="0" w:color="auto"/>
              <w:bottom w:val="single" w:sz="8" w:space="0" w:color="auto"/>
              <w:right w:val="single" w:sz="8" w:space="0" w:color="auto"/>
            </w:tcBorders>
            <w:shd w:val="clear" w:color="auto" w:fill="auto"/>
            <w:noWrap/>
            <w:vAlign w:val="center"/>
            <w:hideMark/>
          </w:tcPr>
          <w:p w14:paraId="6B8FF1E1" w14:textId="1D528E89" w:rsidR="00655057" w:rsidRPr="008E3FA9" w:rsidRDefault="00655057" w:rsidP="00655057">
            <w:pPr>
              <w:rPr>
                <w:rFonts w:cstheme="minorHAnsi"/>
                <w:sz w:val="20"/>
                <w:szCs w:val="20"/>
              </w:rPr>
            </w:pPr>
            <w:r w:rsidRPr="00402CBD">
              <w:rPr>
                <w:rFonts w:cstheme="minorHAnsi"/>
                <w:color w:val="000000"/>
                <w:sz w:val="20"/>
                <w:szCs w:val="20"/>
              </w:rPr>
              <w:t>Mammals</w:t>
            </w:r>
          </w:p>
        </w:tc>
        <w:tc>
          <w:tcPr>
            <w:tcW w:w="1018" w:type="dxa"/>
            <w:tcBorders>
              <w:top w:val="nil"/>
              <w:left w:val="nil"/>
              <w:bottom w:val="single" w:sz="8" w:space="0" w:color="auto"/>
              <w:right w:val="single" w:sz="8" w:space="0" w:color="auto"/>
            </w:tcBorders>
            <w:shd w:val="clear" w:color="auto" w:fill="auto"/>
            <w:vAlign w:val="center"/>
            <w:hideMark/>
          </w:tcPr>
          <w:p w14:paraId="0C3F3955" w14:textId="53A5A09D" w:rsidR="00655057" w:rsidRPr="008E3FA9" w:rsidRDefault="00655057" w:rsidP="00655057">
            <w:pPr>
              <w:jc w:val="center"/>
              <w:rPr>
                <w:rFonts w:cstheme="minorHAnsi"/>
                <w:sz w:val="20"/>
                <w:szCs w:val="20"/>
              </w:rPr>
            </w:pPr>
            <w:r w:rsidRPr="00402CBD">
              <w:rPr>
                <w:rFonts w:cstheme="minorHAnsi"/>
                <w:color w:val="000000"/>
                <w:sz w:val="20"/>
                <w:szCs w:val="20"/>
              </w:rPr>
              <w:t>6</w:t>
            </w:r>
          </w:p>
        </w:tc>
        <w:tc>
          <w:tcPr>
            <w:tcW w:w="947" w:type="dxa"/>
            <w:tcBorders>
              <w:top w:val="nil"/>
              <w:left w:val="nil"/>
              <w:bottom w:val="single" w:sz="8" w:space="0" w:color="auto"/>
              <w:right w:val="single" w:sz="8" w:space="0" w:color="auto"/>
            </w:tcBorders>
            <w:shd w:val="clear" w:color="auto" w:fill="auto"/>
            <w:vAlign w:val="center"/>
          </w:tcPr>
          <w:p w14:paraId="70871744" w14:textId="31C75A70" w:rsidR="00655057" w:rsidRPr="008E3FA9" w:rsidRDefault="00655057" w:rsidP="00655057">
            <w:pPr>
              <w:jc w:val="center"/>
              <w:rPr>
                <w:rFonts w:cstheme="minorHAnsi"/>
                <w:sz w:val="20"/>
                <w:szCs w:val="20"/>
              </w:rPr>
            </w:pPr>
            <w:r w:rsidRPr="00402CBD">
              <w:rPr>
                <w:rFonts w:cstheme="minorHAnsi"/>
                <w:color w:val="000000"/>
                <w:sz w:val="20"/>
                <w:szCs w:val="20"/>
              </w:rPr>
              <w:t>27</w:t>
            </w:r>
          </w:p>
        </w:tc>
        <w:tc>
          <w:tcPr>
            <w:tcW w:w="2230" w:type="dxa"/>
            <w:tcBorders>
              <w:top w:val="nil"/>
              <w:left w:val="nil"/>
              <w:bottom w:val="single" w:sz="8" w:space="0" w:color="auto"/>
              <w:right w:val="single" w:sz="8" w:space="0" w:color="auto"/>
            </w:tcBorders>
            <w:shd w:val="clear" w:color="auto" w:fill="auto"/>
            <w:noWrap/>
            <w:vAlign w:val="center"/>
            <w:hideMark/>
          </w:tcPr>
          <w:p w14:paraId="09947E0C" w14:textId="4455CBCD" w:rsidR="00655057" w:rsidRPr="008E3FA9" w:rsidRDefault="00655057" w:rsidP="00655057">
            <w:pPr>
              <w:jc w:val="center"/>
              <w:rPr>
                <w:rFonts w:cstheme="minorHAnsi"/>
                <w:sz w:val="20"/>
                <w:szCs w:val="20"/>
              </w:rPr>
            </w:pPr>
            <w:r w:rsidRPr="00402CBD">
              <w:rPr>
                <w:rFonts w:cstheme="minorHAnsi"/>
                <w:color w:val="000000"/>
                <w:sz w:val="20"/>
                <w:szCs w:val="20"/>
              </w:rPr>
              <w:t>5</w:t>
            </w:r>
          </w:p>
        </w:tc>
        <w:tc>
          <w:tcPr>
            <w:tcW w:w="2113" w:type="dxa"/>
            <w:tcBorders>
              <w:top w:val="nil"/>
              <w:left w:val="nil"/>
              <w:bottom w:val="single" w:sz="8" w:space="0" w:color="auto"/>
              <w:right w:val="single" w:sz="8" w:space="0" w:color="auto"/>
            </w:tcBorders>
            <w:shd w:val="clear" w:color="auto" w:fill="auto"/>
            <w:noWrap/>
            <w:vAlign w:val="center"/>
            <w:hideMark/>
          </w:tcPr>
          <w:p w14:paraId="20B44D08" w14:textId="644A41F1" w:rsidR="00655057" w:rsidRPr="008E3FA9" w:rsidRDefault="00655057" w:rsidP="00655057">
            <w:pPr>
              <w:jc w:val="center"/>
              <w:rPr>
                <w:rFonts w:cstheme="minorHAnsi"/>
                <w:sz w:val="20"/>
                <w:szCs w:val="20"/>
              </w:rPr>
            </w:pPr>
            <w:r w:rsidRPr="00402CBD">
              <w:rPr>
                <w:rFonts w:cstheme="minorHAnsi"/>
                <w:color w:val="000000"/>
                <w:sz w:val="20"/>
                <w:szCs w:val="20"/>
              </w:rPr>
              <w:t>22</w:t>
            </w:r>
          </w:p>
        </w:tc>
        <w:tc>
          <w:tcPr>
            <w:tcW w:w="974" w:type="dxa"/>
            <w:tcBorders>
              <w:top w:val="nil"/>
              <w:left w:val="nil"/>
              <w:bottom w:val="single" w:sz="8" w:space="0" w:color="auto"/>
              <w:right w:val="single" w:sz="8" w:space="0" w:color="auto"/>
            </w:tcBorders>
            <w:shd w:val="clear" w:color="auto" w:fill="auto"/>
            <w:noWrap/>
            <w:vAlign w:val="center"/>
          </w:tcPr>
          <w:p w14:paraId="3FFBE800" w14:textId="50AE486E" w:rsidR="00655057" w:rsidRPr="008E3FA9" w:rsidRDefault="00655057" w:rsidP="00655057">
            <w:pPr>
              <w:jc w:val="center"/>
              <w:rPr>
                <w:rFonts w:cstheme="minorHAnsi"/>
                <w:sz w:val="20"/>
                <w:szCs w:val="20"/>
              </w:rPr>
            </w:pPr>
            <w:r w:rsidRPr="00402CBD">
              <w:rPr>
                <w:rFonts w:cstheme="minorHAnsi"/>
                <w:color w:val="000000"/>
                <w:sz w:val="20"/>
                <w:szCs w:val="20"/>
              </w:rPr>
              <w:t>33</w:t>
            </w:r>
          </w:p>
        </w:tc>
      </w:tr>
      <w:tr w:rsidR="00655057" w:rsidRPr="008E3FA9" w14:paraId="170095B4" w14:textId="77777777" w:rsidTr="00655057">
        <w:trPr>
          <w:trHeight w:val="288"/>
        </w:trPr>
        <w:tc>
          <w:tcPr>
            <w:tcW w:w="1646" w:type="dxa"/>
            <w:tcBorders>
              <w:top w:val="nil"/>
              <w:left w:val="single" w:sz="8" w:space="0" w:color="auto"/>
              <w:bottom w:val="single" w:sz="8" w:space="0" w:color="auto"/>
              <w:right w:val="single" w:sz="8" w:space="0" w:color="auto"/>
            </w:tcBorders>
            <w:shd w:val="clear" w:color="auto" w:fill="auto"/>
            <w:noWrap/>
            <w:vAlign w:val="center"/>
            <w:hideMark/>
          </w:tcPr>
          <w:p w14:paraId="2441DC3F" w14:textId="0BA97090" w:rsidR="00655057" w:rsidRPr="008E3FA9" w:rsidRDefault="00655057" w:rsidP="00655057">
            <w:pPr>
              <w:rPr>
                <w:rFonts w:cstheme="minorHAnsi"/>
                <w:sz w:val="20"/>
                <w:szCs w:val="20"/>
              </w:rPr>
            </w:pPr>
            <w:r w:rsidRPr="00402CBD">
              <w:rPr>
                <w:rFonts w:cstheme="minorHAnsi"/>
                <w:color w:val="000000"/>
                <w:sz w:val="20"/>
                <w:szCs w:val="20"/>
              </w:rPr>
              <w:t>Birds</w:t>
            </w:r>
          </w:p>
        </w:tc>
        <w:tc>
          <w:tcPr>
            <w:tcW w:w="1018" w:type="dxa"/>
            <w:tcBorders>
              <w:top w:val="nil"/>
              <w:left w:val="nil"/>
              <w:bottom w:val="single" w:sz="8" w:space="0" w:color="auto"/>
              <w:right w:val="single" w:sz="8" w:space="0" w:color="auto"/>
            </w:tcBorders>
            <w:shd w:val="clear" w:color="auto" w:fill="auto"/>
            <w:vAlign w:val="center"/>
            <w:hideMark/>
          </w:tcPr>
          <w:p w14:paraId="0DAB2FD6" w14:textId="5BF61CA8" w:rsidR="00655057" w:rsidRPr="008E3FA9" w:rsidRDefault="00655057" w:rsidP="00655057">
            <w:pPr>
              <w:jc w:val="center"/>
              <w:rPr>
                <w:rFonts w:cstheme="minorHAnsi"/>
                <w:sz w:val="20"/>
                <w:szCs w:val="20"/>
              </w:rPr>
            </w:pPr>
            <w:r w:rsidRPr="00402CBD">
              <w:rPr>
                <w:rFonts w:cstheme="minorHAnsi"/>
                <w:color w:val="000000"/>
                <w:sz w:val="20"/>
                <w:szCs w:val="20"/>
              </w:rPr>
              <w:t>14</w:t>
            </w:r>
          </w:p>
        </w:tc>
        <w:tc>
          <w:tcPr>
            <w:tcW w:w="947" w:type="dxa"/>
            <w:tcBorders>
              <w:top w:val="nil"/>
              <w:left w:val="nil"/>
              <w:bottom w:val="single" w:sz="8" w:space="0" w:color="auto"/>
              <w:right w:val="single" w:sz="8" w:space="0" w:color="auto"/>
            </w:tcBorders>
            <w:shd w:val="clear" w:color="auto" w:fill="auto"/>
            <w:vAlign w:val="center"/>
          </w:tcPr>
          <w:p w14:paraId="7B56DB23" w14:textId="6C5F31EB" w:rsidR="00655057" w:rsidRPr="008E3FA9" w:rsidRDefault="00655057" w:rsidP="00655057">
            <w:pPr>
              <w:jc w:val="center"/>
              <w:rPr>
                <w:rFonts w:cstheme="minorHAnsi"/>
                <w:sz w:val="20"/>
                <w:szCs w:val="20"/>
              </w:rPr>
            </w:pPr>
            <w:r w:rsidRPr="00402CBD">
              <w:rPr>
                <w:rFonts w:cstheme="minorHAnsi"/>
                <w:color w:val="000000"/>
                <w:sz w:val="20"/>
                <w:szCs w:val="20"/>
              </w:rPr>
              <w:t>17</w:t>
            </w:r>
          </w:p>
        </w:tc>
        <w:tc>
          <w:tcPr>
            <w:tcW w:w="2230" w:type="dxa"/>
            <w:tcBorders>
              <w:top w:val="nil"/>
              <w:left w:val="nil"/>
              <w:bottom w:val="single" w:sz="8" w:space="0" w:color="auto"/>
              <w:right w:val="single" w:sz="8" w:space="0" w:color="auto"/>
            </w:tcBorders>
            <w:shd w:val="clear" w:color="auto" w:fill="auto"/>
            <w:noWrap/>
            <w:vAlign w:val="center"/>
            <w:hideMark/>
          </w:tcPr>
          <w:p w14:paraId="4E21C8F9" w14:textId="0BE744C3" w:rsidR="00655057" w:rsidRPr="008E3FA9" w:rsidRDefault="00655057" w:rsidP="00655057">
            <w:pPr>
              <w:jc w:val="center"/>
              <w:rPr>
                <w:rFonts w:cstheme="minorHAnsi"/>
                <w:sz w:val="20"/>
                <w:szCs w:val="20"/>
              </w:rPr>
            </w:pPr>
            <w:r w:rsidRPr="00402CBD">
              <w:rPr>
                <w:rFonts w:cstheme="minorHAnsi"/>
                <w:color w:val="000000"/>
                <w:sz w:val="20"/>
                <w:szCs w:val="20"/>
              </w:rPr>
              <w:t>1</w:t>
            </w:r>
          </w:p>
        </w:tc>
        <w:tc>
          <w:tcPr>
            <w:tcW w:w="2113" w:type="dxa"/>
            <w:tcBorders>
              <w:top w:val="nil"/>
              <w:left w:val="nil"/>
              <w:bottom w:val="single" w:sz="8" w:space="0" w:color="auto"/>
              <w:right w:val="single" w:sz="8" w:space="0" w:color="auto"/>
            </w:tcBorders>
            <w:shd w:val="clear" w:color="auto" w:fill="auto"/>
            <w:noWrap/>
            <w:vAlign w:val="center"/>
            <w:hideMark/>
          </w:tcPr>
          <w:p w14:paraId="0127CAA8" w14:textId="0637DD2D" w:rsidR="00655057" w:rsidRPr="008E3FA9" w:rsidRDefault="00655057" w:rsidP="00655057">
            <w:pPr>
              <w:jc w:val="center"/>
              <w:rPr>
                <w:rFonts w:cstheme="minorHAnsi"/>
                <w:sz w:val="20"/>
                <w:szCs w:val="20"/>
              </w:rPr>
            </w:pPr>
            <w:r w:rsidRPr="00402CBD">
              <w:rPr>
                <w:rFonts w:cstheme="minorHAnsi"/>
                <w:color w:val="000000"/>
                <w:sz w:val="20"/>
                <w:szCs w:val="20"/>
              </w:rPr>
              <w:t>16</w:t>
            </w:r>
          </w:p>
        </w:tc>
        <w:tc>
          <w:tcPr>
            <w:tcW w:w="974" w:type="dxa"/>
            <w:tcBorders>
              <w:top w:val="nil"/>
              <w:left w:val="nil"/>
              <w:bottom w:val="single" w:sz="8" w:space="0" w:color="auto"/>
              <w:right w:val="single" w:sz="8" w:space="0" w:color="auto"/>
            </w:tcBorders>
            <w:shd w:val="clear" w:color="auto" w:fill="auto"/>
            <w:noWrap/>
            <w:vAlign w:val="center"/>
          </w:tcPr>
          <w:p w14:paraId="6E964C78" w14:textId="57B19AB1" w:rsidR="00655057" w:rsidRPr="008E3FA9" w:rsidRDefault="00655057" w:rsidP="00655057">
            <w:pPr>
              <w:jc w:val="center"/>
              <w:rPr>
                <w:rFonts w:cstheme="minorHAnsi"/>
                <w:sz w:val="20"/>
                <w:szCs w:val="20"/>
              </w:rPr>
            </w:pPr>
            <w:r w:rsidRPr="00402CBD">
              <w:rPr>
                <w:rFonts w:cstheme="minorHAnsi"/>
                <w:color w:val="000000"/>
                <w:sz w:val="20"/>
                <w:szCs w:val="20"/>
              </w:rPr>
              <w:t>31</w:t>
            </w:r>
          </w:p>
        </w:tc>
      </w:tr>
      <w:tr w:rsidR="00655057" w:rsidRPr="008E3FA9" w14:paraId="4DAE033C" w14:textId="77777777" w:rsidTr="00655057">
        <w:trPr>
          <w:trHeight w:val="288"/>
        </w:trPr>
        <w:tc>
          <w:tcPr>
            <w:tcW w:w="1646" w:type="dxa"/>
            <w:tcBorders>
              <w:top w:val="nil"/>
              <w:left w:val="single" w:sz="8" w:space="0" w:color="auto"/>
              <w:bottom w:val="single" w:sz="8" w:space="0" w:color="auto"/>
              <w:right w:val="single" w:sz="8" w:space="0" w:color="auto"/>
            </w:tcBorders>
            <w:shd w:val="clear" w:color="auto" w:fill="auto"/>
            <w:noWrap/>
            <w:vAlign w:val="center"/>
            <w:hideMark/>
          </w:tcPr>
          <w:p w14:paraId="0C7BCE05" w14:textId="338135AF" w:rsidR="00655057" w:rsidRPr="008E3FA9" w:rsidRDefault="00655057" w:rsidP="00655057">
            <w:pPr>
              <w:rPr>
                <w:rFonts w:cstheme="minorHAnsi"/>
                <w:sz w:val="20"/>
                <w:szCs w:val="20"/>
              </w:rPr>
            </w:pPr>
            <w:r w:rsidRPr="00402CBD">
              <w:rPr>
                <w:rFonts w:cstheme="minorHAnsi"/>
                <w:color w:val="000000"/>
                <w:sz w:val="20"/>
                <w:szCs w:val="20"/>
              </w:rPr>
              <w:t>Amphibians</w:t>
            </w:r>
          </w:p>
        </w:tc>
        <w:tc>
          <w:tcPr>
            <w:tcW w:w="1018" w:type="dxa"/>
            <w:tcBorders>
              <w:top w:val="nil"/>
              <w:left w:val="nil"/>
              <w:bottom w:val="single" w:sz="8" w:space="0" w:color="auto"/>
              <w:right w:val="single" w:sz="8" w:space="0" w:color="auto"/>
            </w:tcBorders>
            <w:shd w:val="clear" w:color="auto" w:fill="auto"/>
            <w:vAlign w:val="center"/>
            <w:hideMark/>
          </w:tcPr>
          <w:p w14:paraId="049B4F11" w14:textId="25F349D4" w:rsidR="00655057" w:rsidRPr="008E3FA9" w:rsidRDefault="00655057" w:rsidP="00655057">
            <w:pPr>
              <w:jc w:val="center"/>
              <w:rPr>
                <w:rFonts w:cstheme="minorHAnsi"/>
                <w:sz w:val="20"/>
                <w:szCs w:val="20"/>
              </w:rPr>
            </w:pPr>
            <w:r w:rsidRPr="00402CBD">
              <w:rPr>
                <w:rFonts w:cstheme="minorHAnsi"/>
                <w:color w:val="000000"/>
                <w:sz w:val="20"/>
                <w:szCs w:val="20"/>
              </w:rPr>
              <w:t>3</w:t>
            </w:r>
          </w:p>
        </w:tc>
        <w:tc>
          <w:tcPr>
            <w:tcW w:w="947" w:type="dxa"/>
            <w:tcBorders>
              <w:top w:val="nil"/>
              <w:left w:val="nil"/>
              <w:bottom w:val="single" w:sz="8" w:space="0" w:color="auto"/>
              <w:right w:val="single" w:sz="8" w:space="0" w:color="auto"/>
            </w:tcBorders>
            <w:shd w:val="clear" w:color="auto" w:fill="auto"/>
            <w:vAlign w:val="center"/>
          </w:tcPr>
          <w:p w14:paraId="5534E9F5" w14:textId="7462580C" w:rsidR="00655057" w:rsidRPr="008E3FA9" w:rsidRDefault="00655057" w:rsidP="00655057">
            <w:pPr>
              <w:jc w:val="center"/>
              <w:rPr>
                <w:rFonts w:cstheme="minorHAnsi"/>
                <w:sz w:val="20"/>
                <w:szCs w:val="20"/>
              </w:rPr>
            </w:pPr>
            <w:r w:rsidRPr="00402CBD">
              <w:rPr>
                <w:rFonts w:cstheme="minorHAnsi"/>
                <w:color w:val="000000"/>
                <w:sz w:val="20"/>
                <w:szCs w:val="20"/>
              </w:rPr>
              <w:t>22</w:t>
            </w:r>
          </w:p>
        </w:tc>
        <w:tc>
          <w:tcPr>
            <w:tcW w:w="2230" w:type="dxa"/>
            <w:tcBorders>
              <w:top w:val="nil"/>
              <w:left w:val="nil"/>
              <w:bottom w:val="single" w:sz="8" w:space="0" w:color="auto"/>
              <w:right w:val="single" w:sz="8" w:space="0" w:color="auto"/>
            </w:tcBorders>
            <w:shd w:val="clear" w:color="auto" w:fill="auto"/>
            <w:noWrap/>
            <w:vAlign w:val="center"/>
            <w:hideMark/>
          </w:tcPr>
          <w:p w14:paraId="6A005157" w14:textId="42285192" w:rsidR="00655057" w:rsidRPr="008E3FA9" w:rsidRDefault="00655057" w:rsidP="00655057">
            <w:pPr>
              <w:jc w:val="center"/>
              <w:rPr>
                <w:rFonts w:cstheme="minorHAnsi"/>
                <w:sz w:val="20"/>
                <w:szCs w:val="20"/>
              </w:rPr>
            </w:pPr>
            <w:r w:rsidRPr="00402CBD">
              <w:rPr>
                <w:rFonts w:cstheme="minorHAnsi"/>
                <w:color w:val="000000"/>
                <w:sz w:val="20"/>
                <w:szCs w:val="20"/>
              </w:rPr>
              <w:t>0</w:t>
            </w:r>
          </w:p>
        </w:tc>
        <w:tc>
          <w:tcPr>
            <w:tcW w:w="2113" w:type="dxa"/>
            <w:tcBorders>
              <w:top w:val="nil"/>
              <w:left w:val="nil"/>
              <w:bottom w:val="single" w:sz="8" w:space="0" w:color="auto"/>
              <w:right w:val="single" w:sz="8" w:space="0" w:color="auto"/>
            </w:tcBorders>
            <w:shd w:val="clear" w:color="auto" w:fill="auto"/>
            <w:noWrap/>
            <w:vAlign w:val="center"/>
            <w:hideMark/>
          </w:tcPr>
          <w:p w14:paraId="293D61AE" w14:textId="40F40A65" w:rsidR="00655057" w:rsidRPr="008E3FA9" w:rsidRDefault="00655057" w:rsidP="00655057">
            <w:pPr>
              <w:jc w:val="center"/>
              <w:rPr>
                <w:rFonts w:cstheme="minorHAnsi"/>
                <w:sz w:val="20"/>
                <w:szCs w:val="20"/>
              </w:rPr>
            </w:pPr>
            <w:r w:rsidRPr="00402CBD">
              <w:rPr>
                <w:rFonts w:cstheme="minorHAnsi"/>
                <w:color w:val="000000"/>
                <w:sz w:val="20"/>
                <w:szCs w:val="20"/>
              </w:rPr>
              <w:t>22</w:t>
            </w:r>
          </w:p>
        </w:tc>
        <w:tc>
          <w:tcPr>
            <w:tcW w:w="974" w:type="dxa"/>
            <w:tcBorders>
              <w:top w:val="nil"/>
              <w:left w:val="nil"/>
              <w:bottom w:val="single" w:sz="8" w:space="0" w:color="auto"/>
              <w:right w:val="single" w:sz="8" w:space="0" w:color="auto"/>
            </w:tcBorders>
            <w:shd w:val="clear" w:color="auto" w:fill="auto"/>
            <w:noWrap/>
            <w:vAlign w:val="center"/>
          </w:tcPr>
          <w:p w14:paraId="32D91958" w14:textId="3E218886" w:rsidR="00655057" w:rsidRPr="008E3FA9" w:rsidRDefault="00655057" w:rsidP="00655057">
            <w:pPr>
              <w:jc w:val="center"/>
              <w:rPr>
                <w:rFonts w:cstheme="minorHAnsi"/>
                <w:sz w:val="20"/>
                <w:szCs w:val="20"/>
              </w:rPr>
            </w:pPr>
            <w:r w:rsidRPr="00402CBD">
              <w:rPr>
                <w:rFonts w:cstheme="minorHAnsi"/>
                <w:color w:val="000000"/>
                <w:sz w:val="20"/>
                <w:szCs w:val="20"/>
              </w:rPr>
              <w:t>25</w:t>
            </w:r>
          </w:p>
        </w:tc>
      </w:tr>
      <w:tr w:rsidR="00655057" w:rsidRPr="008E3FA9" w14:paraId="1CB201B0" w14:textId="77777777" w:rsidTr="00655057">
        <w:trPr>
          <w:trHeight w:val="288"/>
        </w:trPr>
        <w:tc>
          <w:tcPr>
            <w:tcW w:w="1646" w:type="dxa"/>
            <w:tcBorders>
              <w:top w:val="nil"/>
              <w:left w:val="single" w:sz="8" w:space="0" w:color="auto"/>
              <w:bottom w:val="single" w:sz="8" w:space="0" w:color="auto"/>
              <w:right w:val="single" w:sz="8" w:space="0" w:color="auto"/>
            </w:tcBorders>
            <w:shd w:val="clear" w:color="auto" w:fill="auto"/>
            <w:noWrap/>
            <w:vAlign w:val="center"/>
            <w:hideMark/>
          </w:tcPr>
          <w:p w14:paraId="27BEEC77" w14:textId="5C8B6DF3" w:rsidR="00655057" w:rsidRPr="008E3FA9" w:rsidRDefault="00655057" w:rsidP="00655057">
            <w:pPr>
              <w:rPr>
                <w:rFonts w:cstheme="minorHAnsi"/>
                <w:sz w:val="20"/>
                <w:szCs w:val="20"/>
              </w:rPr>
            </w:pPr>
            <w:r w:rsidRPr="00402CBD">
              <w:rPr>
                <w:rFonts w:cstheme="minorHAnsi"/>
                <w:color w:val="000000"/>
                <w:sz w:val="20"/>
                <w:szCs w:val="20"/>
              </w:rPr>
              <w:t>Reptiles</w:t>
            </w:r>
          </w:p>
        </w:tc>
        <w:tc>
          <w:tcPr>
            <w:tcW w:w="1018" w:type="dxa"/>
            <w:tcBorders>
              <w:top w:val="nil"/>
              <w:left w:val="nil"/>
              <w:bottom w:val="single" w:sz="8" w:space="0" w:color="auto"/>
              <w:right w:val="single" w:sz="8" w:space="0" w:color="auto"/>
            </w:tcBorders>
            <w:shd w:val="clear" w:color="auto" w:fill="auto"/>
            <w:vAlign w:val="center"/>
            <w:hideMark/>
          </w:tcPr>
          <w:p w14:paraId="628258A3" w14:textId="3BD7AD57" w:rsidR="00655057" w:rsidRPr="008E3FA9" w:rsidRDefault="00655057" w:rsidP="00655057">
            <w:pPr>
              <w:jc w:val="center"/>
              <w:rPr>
                <w:rFonts w:cstheme="minorHAnsi"/>
                <w:sz w:val="20"/>
                <w:szCs w:val="20"/>
              </w:rPr>
            </w:pPr>
            <w:r w:rsidRPr="00402CBD">
              <w:rPr>
                <w:rFonts w:cstheme="minorHAnsi"/>
                <w:color w:val="000000"/>
                <w:sz w:val="20"/>
                <w:szCs w:val="20"/>
              </w:rPr>
              <w:t>7</w:t>
            </w:r>
          </w:p>
        </w:tc>
        <w:tc>
          <w:tcPr>
            <w:tcW w:w="947" w:type="dxa"/>
            <w:tcBorders>
              <w:top w:val="nil"/>
              <w:left w:val="nil"/>
              <w:bottom w:val="single" w:sz="8" w:space="0" w:color="auto"/>
              <w:right w:val="single" w:sz="8" w:space="0" w:color="auto"/>
            </w:tcBorders>
            <w:shd w:val="clear" w:color="auto" w:fill="auto"/>
            <w:vAlign w:val="center"/>
          </w:tcPr>
          <w:p w14:paraId="3D8F4307" w14:textId="16B72289" w:rsidR="00655057" w:rsidRPr="008E3FA9" w:rsidRDefault="00655057" w:rsidP="00655057">
            <w:pPr>
              <w:jc w:val="center"/>
              <w:rPr>
                <w:rFonts w:cstheme="minorHAnsi"/>
                <w:sz w:val="20"/>
                <w:szCs w:val="20"/>
              </w:rPr>
            </w:pPr>
            <w:r w:rsidRPr="00402CBD">
              <w:rPr>
                <w:rFonts w:cstheme="minorHAnsi"/>
                <w:color w:val="000000"/>
                <w:sz w:val="20"/>
                <w:szCs w:val="20"/>
              </w:rPr>
              <w:t>9</w:t>
            </w:r>
          </w:p>
        </w:tc>
        <w:tc>
          <w:tcPr>
            <w:tcW w:w="2230" w:type="dxa"/>
            <w:tcBorders>
              <w:top w:val="nil"/>
              <w:left w:val="nil"/>
              <w:bottom w:val="single" w:sz="8" w:space="0" w:color="auto"/>
              <w:right w:val="single" w:sz="8" w:space="0" w:color="auto"/>
            </w:tcBorders>
            <w:shd w:val="clear" w:color="auto" w:fill="auto"/>
            <w:noWrap/>
            <w:vAlign w:val="center"/>
            <w:hideMark/>
          </w:tcPr>
          <w:p w14:paraId="3C0B26E7" w14:textId="4E2D13C8" w:rsidR="00655057" w:rsidRPr="008E3FA9" w:rsidRDefault="00655057" w:rsidP="00655057">
            <w:pPr>
              <w:jc w:val="center"/>
              <w:rPr>
                <w:rFonts w:cstheme="minorHAnsi"/>
                <w:sz w:val="20"/>
                <w:szCs w:val="20"/>
              </w:rPr>
            </w:pPr>
            <w:r w:rsidRPr="00402CBD">
              <w:rPr>
                <w:rFonts w:cstheme="minorHAnsi"/>
                <w:color w:val="000000"/>
                <w:sz w:val="20"/>
                <w:szCs w:val="20"/>
              </w:rPr>
              <w:t>3</w:t>
            </w:r>
          </w:p>
        </w:tc>
        <w:tc>
          <w:tcPr>
            <w:tcW w:w="2113" w:type="dxa"/>
            <w:tcBorders>
              <w:top w:val="nil"/>
              <w:left w:val="nil"/>
              <w:bottom w:val="single" w:sz="8" w:space="0" w:color="auto"/>
              <w:right w:val="single" w:sz="8" w:space="0" w:color="auto"/>
            </w:tcBorders>
            <w:shd w:val="clear" w:color="auto" w:fill="auto"/>
            <w:noWrap/>
            <w:vAlign w:val="center"/>
            <w:hideMark/>
          </w:tcPr>
          <w:p w14:paraId="12E05113" w14:textId="29989692" w:rsidR="00655057" w:rsidRPr="008E3FA9" w:rsidRDefault="00655057" w:rsidP="00655057">
            <w:pPr>
              <w:jc w:val="center"/>
              <w:rPr>
                <w:rFonts w:cstheme="minorHAnsi"/>
                <w:sz w:val="20"/>
                <w:szCs w:val="20"/>
              </w:rPr>
            </w:pPr>
            <w:r w:rsidRPr="00402CBD">
              <w:rPr>
                <w:rFonts w:cstheme="minorHAnsi"/>
                <w:color w:val="000000"/>
                <w:sz w:val="20"/>
                <w:szCs w:val="20"/>
              </w:rPr>
              <w:t>6</w:t>
            </w:r>
          </w:p>
        </w:tc>
        <w:tc>
          <w:tcPr>
            <w:tcW w:w="974" w:type="dxa"/>
            <w:tcBorders>
              <w:top w:val="nil"/>
              <w:left w:val="nil"/>
              <w:bottom w:val="single" w:sz="8" w:space="0" w:color="auto"/>
              <w:right w:val="single" w:sz="8" w:space="0" w:color="auto"/>
            </w:tcBorders>
            <w:shd w:val="clear" w:color="auto" w:fill="auto"/>
            <w:noWrap/>
            <w:vAlign w:val="center"/>
          </w:tcPr>
          <w:p w14:paraId="4293019F" w14:textId="54B246EA" w:rsidR="00655057" w:rsidRPr="008E3FA9" w:rsidRDefault="00655057" w:rsidP="00655057">
            <w:pPr>
              <w:jc w:val="center"/>
              <w:rPr>
                <w:rFonts w:cstheme="minorHAnsi"/>
                <w:sz w:val="20"/>
                <w:szCs w:val="20"/>
              </w:rPr>
            </w:pPr>
            <w:r w:rsidRPr="00402CBD">
              <w:rPr>
                <w:rFonts w:cstheme="minorHAnsi"/>
                <w:color w:val="000000"/>
                <w:sz w:val="20"/>
                <w:szCs w:val="20"/>
              </w:rPr>
              <w:t>16</w:t>
            </w:r>
          </w:p>
        </w:tc>
      </w:tr>
      <w:tr w:rsidR="00655057" w:rsidRPr="008E3FA9" w14:paraId="49152F21" w14:textId="77777777" w:rsidTr="00655057">
        <w:trPr>
          <w:trHeight w:val="288"/>
        </w:trPr>
        <w:tc>
          <w:tcPr>
            <w:tcW w:w="1646" w:type="dxa"/>
            <w:tcBorders>
              <w:top w:val="nil"/>
              <w:left w:val="single" w:sz="8" w:space="0" w:color="auto"/>
              <w:bottom w:val="single" w:sz="8" w:space="0" w:color="auto"/>
              <w:right w:val="single" w:sz="8" w:space="0" w:color="auto"/>
            </w:tcBorders>
            <w:shd w:val="clear" w:color="auto" w:fill="auto"/>
            <w:noWrap/>
            <w:vAlign w:val="center"/>
            <w:hideMark/>
          </w:tcPr>
          <w:p w14:paraId="73F77701" w14:textId="70C74531" w:rsidR="00655057" w:rsidRPr="008E3FA9" w:rsidRDefault="00655057" w:rsidP="00655057">
            <w:pPr>
              <w:rPr>
                <w:rFonts w:cstheme="minorHAnsi"/>
                <w:sz w:val="20"/>
                <w:szCs w:val="20"/>
              </w:rPr>
            </w:pPr>
            <w:r w:rsidRPr="00402CBD">
              <w:rPr>
                <w:rFonts w:cstheme="minorHAnsi"/>
                <w:color w:val="000000"/>
                <w:sz w:val="20"/>
                <w:szCs w:val="20"/>
              </w:rPr>
              <w:t>Fish</w:t>
            </w:r>
          </w:p>
        </w:tc>
        <w:tc>
          <w:tcPr>
            <w:tcW w:w="1018" w:type="dxa"/>
            <w:tcBorders>
              <w:top w:val="nil"/>
              <w:left w:val="nil"/>
              <w:bottom w:val="single" w:sz="8" w:space="0" w:color="auto"/>
              <w:right w:val="single" w:sz="8" w:space="0" w:color="auto"/>
            </w:tcBorders>
            <w:shd w:val="clear" w:color="auto" w:fill="auto"/>
            <w:vAlign w:val="center"/>
            <w:hideMark/>
          </w:tcPr>
          <w:p w14:paraId="779D58CC" w14:textId="179D0E84" w:rsidR="00655057" w:rsidRPr="008E3FA9" w:rsidRDefault="00655057" w:rsidP="00655057">
            <w:pPr>
              <w:jc w:val="center"/>
              <w:rPr>
                <w:rFonts w:cstheme="minorHAnsi"/>
                <w:sz w:val="20"/>
                <w:szCs w:val="20"/>
              </w:rPr>
            </w:pPr>
            <w:r w:rsidRPr="00402CBD">
              <w:rPr>
                <w:rFonts w:cstheme="minorHAnsi"/>
                <w:color w:val="000000"/>
                <w:sz w:val="20"/>
                <w:szCs w:val="20"/>
              </w:rPr>
              <w:t>4</w:t>
            </w:r>
          </w:p>
        </w:tc>
        <w:tc>
          <w:tcPr>
            <w:tcW w:w="947" w:type="dxa"/>
            <w:tcBorders>
              <w:top w:val="nil"/>
              <w:left w:val="nil"/>
              <w:bottom w:val="single" w:sz="8" w:space="0" w:color="auto"/>
              <w:right w:val="single" w:sz="8" w:space="0" w:color="auto"/>
            </w:tcBorders>
            <w:shd w:val="clear" w:color="auto" w:fill="auto"/>
            <w:vAlign w:val="center"/>
          </w:tcPr>
          <w:p w14:paraId="6A6478A0" w14:textId="38FFCD0E" w:rsidR="00655057" w:rsidRPr="008E3FA9" w:rsidRDefault="00655057" w:rsidP="00655057">
            <w:pPr>
              <w:jc w:val="center"/>
              <w:rPr>
                <w:rFonts w:cstheme="minorHAnsi"/>
                <w:sz w:val="20"/>
                <w:szCs w:val="20"/>
              </w:rPr>
            </w:pPr>
            <w:r w:rsidRPr="00402CBD">
              <w:rPr>
                <w:rFonts w:cstheme="minorHAnsi"/>
                <w:color w:val="000000"/>
                <w:sz w:val="20"/>
                <w:szCs w:val="20"/>
              </w:rPr>
              <w:t>103</w:t>
            </w:r>
          </w:p>
        </w:tc>
        <w:tc>
          <w:tcPr>
            <w:tcW w:w="2230" w:type="dxa"/>
            <w:tcBorders>
              <w:top w:val="nil"/>
              <w:left w:val="nil"/>
              <w:bottom w:val="single" w:sz="8" w:space="0" w:color="auto"/>
              <w:right w:val="single" w:sz="8" w:space="0" w:color="auto"/>
            </w:tcBorders>
            <w:shd w:val="clear" w:color="auto" w:fill="auto"/>
            <w:noWrap/>
            <w:vAlign w:val="center"/>
            <w:hideMark/>
          </w:tcPr>
          <w:p w14:paraId="2B748F55" w14:textId="3411C7E9" w:rsidR="00655057" w:rsidRPr="008E3FA9" w:rsidRDefault="00655057" w:rsidP="00655057">
            <w:pPr>
              <w:jc w:val="center"/>
              <w:rPr>
                <w:rFonts w:cstheme="minorHAnsi"/>
                <w:sz w:val="20"/>
                <w:szCs w:val="20"/>
              </w:rPr>
            </w:pPr>
            <w:r w:rsidRPr="00402CBD">
              <w:rPr>
                <w:rFonts w:cstheme="minorHAnsi"/>
                <w:color w:val="000000"/>
                <w:sz w:val="20"/>
                <w:szCs w:val="20"/>
              </w:rPr>
              <w:t>7</w:t>
            </w:r>
          </w:p>
        </w:tc>
        <w:tc>
          <w:tcPr>
            <w:tcW w:w="2113" w:type="dxa"/>
            <w:tcBorders>
              <w:top w:val="nil"/>
              <w:left w:val="nil"/>
              <w:bottom w:val="single" w:sz="8" w:space="0" w:color="auto"/>
              <w:right w:val="single" w:sz="8" w:space="0" w:color="auto"/>
            </w:tcBorders>
            <w:shd w:val="clear" w:color="auto" w:fill="auto"/>
            <w:noWrap/>
            <w:vAlign w:val="center"/>
            <w:hideMark/>
          </w:tcPr>
          <w:p w14:paraId="31AB775D" w14:textId="0CCB2139" w:rsidR="00655057" w:rsidRPr="008E3FA9" w:rsidRDefault="00655057" w:rsidP="00655057">
            <w:pPr>
              <w:jc w:val="center"/>
              <w:rPr>
                <w:rFonts w:cstheme="minorHAnsi"/>
                <w:sz w:val="20"/>
                <w:szCs w:val="20"/>
              </w:rPr>
            </w:pPr>
            <w:r w:rsidRPr="00402CBD">
              <w:rPr>
                <w:rFonts w:cstheme="minorHAnsi"/>
                <w:color w:val="000000"/>
                <w:sz w:val="20"/>
                <w:szCs w:val="20"/>
              </w:rPr>
              <w:t>96</w:t>
            </w:r>
          </w:p>
        </w:tc>
        <w:tc>
          <w:tcPr>
            <w:tcW w:w="974" w:type="dxa"/>
            <w:tcBorders>
              <w:top w:val="nil"/>
              <w:left w:val="nil"/>
              <w:bottom w:val="single" w:sz="8" w:space="0" w:color="auto"/>
              <w:right w:val="single" w:sz="8" w:space="0" w:color="auto"/>
            </w:tcBorders>
            <w:shd w:val="clear" w:color="auto" w:fill="auto"/>
            <w:noWrap/>
            <w:vAlign w:val="center"/>
          </w:tcPr>
          <w:p w14:paraId="1A0EE934" w14:textId="3C1B3D43" w:rsidR="00655057" w:rsidRPr="008E3FA9" w:rsidRDefault="00655057" w:rsidP="00655057">
            <w:pPr>
              <w:jc w:val="center"/>
              <w:rPr>
                <w:rFonts w:cstheme="minorHAnsi"/>
                <w:sz w:val="20"/>
                <w:szCs w:val="20"/>
              </w:rPr>
            </w:pPr>
            <w:r w:rsidRPr="00402CBD">
              <w:rPr>
                <w:rFonts w:cstheme="minorHAnsi"/>
                <w:color w:val="000000"/>
                <w:sz w:val="20"/>
                <w:szCs w:val="20"/>
              </w:rPr>
              <w:t>107</w:t>
            </w:r>
          </w:p>
        </w:tc>
      </w:tr>
      <w:tr w:rsidR="00655057" w:rsidRPr="008E3FA9" w14:paraId="2433230C" w14:textId="77777777" w:rsidTr="00655057">
        <w:trPr>
          <w:trHeight w:val="288"/>
        </w:trPr>
        <w:tc>
          <w:tcPr>
            <w:tcW w:w="1646" w:type="dxa"/>
            <w:tcBorders>
              <w:top w:val="nil"/>
              <w:left w:val="single" w:sz="8" w:space="0" w:color="auto"/>
              <w:bottom w:val="single" w:sz="8" w:space="0" w:color="auto"/>
              <w:right w:val="single" w:sz="8" w:space="0" w:color="auto"/>
            </w:tcBorders>
            <w:shd w:val="clear" w:color="auto" w:fill="auto"/>
            <w:noWrap/>
            <w:vAlign w:val="center"/>
            <w:hideMark/>
          </w:tcPr>
          <w:p w14:paraId="4CBDEA84" w14:textId="2869323B" w:rsidR="00655057" w:rsidRPr="008E3FA9" w:rsidRDefault="00655057" w:rsidP="00655057">
            <w:pPr>
              <w:rPr>
                <w:rFonts w:cstheme="minorHAnsi"/>
                <w:sz w:val="20"/>
                <w:szCs w:val="20"/>
              </w:rPr>
            </w:pPr>
            <w:r w:rsidRPr="00402CBD">
              <w:rPr>
                <w:rFonts w:cstheme="minorHAnsi"/>
                <w:color w:val="000000"/>
                <w:sz w:val="20"/>
                <w:szCs w:val="20"/>
              </w:rPr>
              <w:t>Plants</w:t>
            </w:r>
          </w:p>
        </w:tc>
        <w:tc>
          <w:tcPr>
            <w:tcW w:w="1018" w:type="dxa"/>
            <w:tcBorders>
              <w:top w:val="nil"/>
              <w:left w:val="nil"/>
              <w:bottom w:val="single" w:sz="8" w:space="0" w:color="auto"/>
              <w:right w:val="single" w:sz="8" w:space="0" w:color="auto"/>
            </w:tcBorders>
            <w:shd w:val="clear" w:color="auto" w:fill="auto"/>
            <w:vAlign w:val="center"/>
            <w:hideMark/>
          </w:tcPr>
          <w:p w14:paraId="2CDAA884" w14:textId="59068909" w:rsidR="00655057" w:rsidRPr="008E3FA9" w:rsidRDefault="00655057" w:rsidP="00655057">
            <w:pPr>
              <w:jc w:val="center"/>
              <w:rPr>
                <w:rFonts w:cstheme="minorHAnsi"/>
                <w:sz w:val="20"/>
                <w:szCs w:val="20"/>
              </w:rPr>
            </w:pPr>
            <w:r w:rsidRPr="00402CBD">
              <w:rPr>
                <w:rFonts w:cstheme="minorHAnsi"/>
                <w:color w:val="000000"/>
                <w:sz w:val="20"/>
                <w:szCs w:val="20"/>
              </w:rPr>
              <w:t>354</w:t>
            </w:r>
          </w:p>
        </w:tc>
        <w:tc>
          <w:tcPr>
            <w:tcW w:w="947" w:type="dxa"/>
            <w:tcBorders>
              <w:top w:val="nil"/>
              <w:left w:val="nil"/>
              <w:bottom w:val="single" w:sz="8" w:space="0" w:color="auto"/>
              <w:right w:val="single" w:sz="8" w:space="0" w:color="auto"/>
            </w:tcBorders>
            <w:shd w:val="clear" w:color="auto" w:fill="auto"/>
            <w:vAlign w:val="center"/>
          </w:tcPr>
          <w:p w14:paraId="5B7F8C45" w14:textId="7ED230A5" w:rsidR="00655057" w:rsidRPr="008E3FA9" w:rsidRDefault="00655057" w:rsidP="00655057">
            <w:pPr>
              <w:jc w:val="center"/>
              <w:rPr>
                <w:rFonts w:cstheme="minorHAnsi"/>
                <w:sz w:val="20"/>
                <w:szCs w:val="20"/>
              </w:rPr>
            </w:pPr>
            <w:r w:rsidRPr="00402CBD">
              <w:rPr>
                <w:rFonts w:cstheme="minorHAnsi"/>
                <w:color w:val="000000"/>
                <w:sz w:val="20"/>
                <w:szCs w:val="20"/>
              </w:rPr>
              <w:t>106</w:t>
            </w:r>
          </w:p>
        </w:tc>
        <w:tc>
          <w:tcPr>
            <w:tcW w:w="2230" w:type="dxa"/>
            <w:tcBorders>
              <w:top w:val="nil"/>
              <w:left w:val="nil"/>
              <w:bottom w:val="single" w:sz="8" w:space="0" w:color="auto"/>
              <w:right w:val="single" w:sz="8" w:space="0" w:color="auto"/>
            </w:tcBorders>
            <w:shd w:val="clear" w:color="auto" w:fill="auto"/>
            <w:noWrap/>
            <w:vAlign w:val="center"/>
            <w:hideMark/>
          </w:tcPr>
          <w:p w14:paraId="4735155F" w14:textId="227B97F3" w:rsidR="00655057" w:rsidRPr="008E3FA9" w:rsidRDefault="00655057" w:rsidP="00655057">
            <w:pPr>
              <w:jc w:val="center"/>
              <w:rPr>
                <w:rFonts w:cstheme="minorHAnsi"/>
                <w:sz w:val="20"/>
                <w:szCs w:val="20"/>
              </w:rPr>
            </w:pPr>
            <w:r w:rsidRPr="00402CBD">
              <w:rPr>
                <w:rFonts w:cstheme="minorHAnsi"/>
                <w:color w:val="000000"/>
                <w:sz w:val="20"/>
                <w:szCs w:val="20"/>
              </w:rPr>
              <w:t>17</w:t>
            </w:r>
          </w:p>
        </w:tc>
        <w:tc>
          <w:tcPr>
            <w:tcW w:w="2113" w:type="dxa"/>
            <w:tcBorders>
              <w:top w:val="nil"/>
              <w:left w:val="nil"/>
              <w:bottom w:val="single" w:sz="8" w:space="0" w:color="auto"/>
              <w:right w:val="single" w:sz="8" w:space="0" w:color="auto"/>
            </w:tcBorders>
            <w:shd w:val="clear" w:color="auto" w:fill="auto"/>
            <w:noWrap/>
            <w:vAlign w:val="center"/>
            <w:hideMark/>
          </w:tcPr>
          <w:p w14:paraId="5A81C357" w14:textId="41B6EB92" w:rsidR="00655057" w:rsidRPr="008E3FA9" w:rsidRDefault="00655057" w:rsidP="00655057">
            <w:pPr>
              <w:jc w:val="center"/>
              <w:rPr>
                <w:rFonts w:cstheme="minorHAnsi"/>
                <w:sz w:val="20"/>
                <w:szCs w:val="20"/>
              </w:rPr>
            </w:pPr>
            <w:r w:rsidRPr="00402CBD">
              <w:rPr>
                <w:rFonts w:cstheme="minorHAnsi"/>
                <w:color w:val="000000"/>
                <w:sz w:val="20"/>
                <w:szCs w:val="20"/>
              </w:rPr>
              <w:t>89</w:t>
            </w:r>
          </w:p>
        </w:tc>
        <w:tc>
          <w:tcPr>
            <w:tcW w:w="974" w:type="dxa"/>
            <w:tcBorders>
              <w:top w:val="nil"/>
              <w:left w:val="nil"/>
              <w:bottom w:val="single" w:sz="8" w:space="0" w:color="auto"/>
              <w:right w:val="single" w:sz="8" w:space="0" w:color="auto"/>
            </w:tcBorders>
            <w:shd w:val="clear" w:color="auto" w:fill="auto"/>
            <w:noWrap/>
            <w:vAlign w:val="center"/>
          </w:tcPr>
          <w:p w14:paraId="3F2FB4AD" w14:textId="14AB7F43" w:rsidR="00655057" w:rsidRPr="008E3FA9" w:rsidRDefault="00655057" w:rsidP="00655057">
            <w:pPr>
              <w:jc w:val="center"/>
              <w:rPr>
                <w:rFonts w:cstheme="minorHAnsi"/>
                <w:sz w:val="20"/>
                <w:szCs w:val="20"/>
              </w:rPr>
            </w:pPr>
            <w:r w:rsidRPr="00402CBD">
              <w:rPr>
                <w:rFonts w:cstheme="minorHAnsi"/>
                <w:color w:val="000000"/>
                <w:sz w:val="20"/>
                <w:szCs w:val="20"/>
              </w:rPr>
              <w:t>460</w:t>
            </w:r>
          </w:p>
        </w:tc>
      </w:tr>
      <w:tr w:rsidR="00655057" w:rsidRPr="008E3FA9" w14:paraId="3C1017B0" w14:textId="77777777" w:rsidTr="00655057">
        <w:trPr>
          <w:trHeight w:val="288"/>
        </w:trPr>
        <w:tc>
          <w:tcPr>
            <w:tcW w:w="1646" w:type="dxa"/>
            <w:tcBorders>
              <w:top w:val="nil"/>
              <w:left w:val="single" w:sz="8" w:space="0" w:color="auto"/>
              <w:bottom w:val="single" w:sz="8" w:space="0" w:color="auto"/>
              <w:right w:val="single" w:sz="8" w:space="0" w:color="auto"/>
            </w:tcBorders>
            <w:shd w:val="clear" w:color="auto" w:fill="auto"/>
            <w:noWrap/>
            <w:vAlign w:val="center"/>
            <w:hideMark/>
          </w:tcPr>
          <w:p w14:paraId="58D440CD" w14:textId="6C78F17D" w:rsidR="00655057" w:rsidRPr="008E3FA9" w:rsidRDefault="00655057" w:rsidP="00655057">
            <w:pPr>
              <w:rPr>
                <w:rFonts w:cstheme="minorHAnsi"/>
                <w:sz w:val="20"/>
                <w:szCs w:val="20"/>
              </w:rPr>
            </w:pPr>
            <w:r w:rsidRPr="00402CBD">
              <w:rPr>
                <w:rFonts w:cstheme="minorHAnsi"/>
                <w:color w:val="000000"/>
                <w:sz w:val="20"/>
                <w:szCs w:val="20"/>
              </w:rPr>
              <w:t>Aquatic Invertebrates</w:t>
            </w:r>
          </w:p>
        </w:tc>
        <w:tc>
          <w:tcPr>
            <w:tcW w:w="1018" w:type="dxa"/>
            <w:tcBorders>
              <w:top w:val="nil"/>
              <w:left w:val="nil"/>
              <w:bottom w:val="single" w:sz="8" w:space="0" w:color="auto"/>
              <w:right w:val="single" w:sz="8" w:space="0" w:color="auto"/>
            </w:tcBorders>
            <w:shd w:val="clear" w:color="auto" w:fill="auto"/>
            <w:vAlign w:val="center"/>
            <w:hideMark/>
          </w:tcPr>
          <w:p w14:paraId="61C6D036" w14:textId="6F04C424" w:rsidR="00655057" w:rsidRPr="008E3FA9" w:rsidRDefault="00655057" w:rsidP="00655057">
            <w:pPr>
              <w:jc w:val="center"/>
              <w:rPr>
                <w:rFonts w:cstheme="minorHAnsi"/>
                <w:sz w:val="20"/>
                <w:szCs w:val="20"/>
              </w:rPr>
            </w:pPr>
            <w:r w:rsidRPr="00402CBD">
              <w:rPr>
                <w:rFonts w:cstheme="minorHAnsi"/>
                <w:color w:val="000000"/>
                <w:sz w:val="20"/>
                <w:szCs w:val="20"/>
              </w:rPr>
              <w:t>5</w:t>
            </w:r>
          </w:p>
        </w:tc>
        <w:tc>
          <w:tcPr>
            <w:tcW w:w="947" w:type="dxa"/>
            <w:tcBorders>
              <w:top w:val="nil"/>
              <w:left w:val="nil"/>
              <w:bottom w:val="single" w:sz="8" w:space="0" w:color="auto"/>
              <w:right w:val="single" w:sz="8" w:space="0" w:color="auto"/>
            </w:tcBorders>
            <w:shd w:val="clear" w:color="auto" w:fill="auto"/>
            <w:vAlign w:val="center"/>
          </w:tcPr>
          <w:p w14:paraId="232E9C5C" w14:textId="1702733C" w:rsidR="00655057" w:rsidRPr="008E3FA9" w:rsidRDefault="00655057" w:rsidP="00655057">
            <w:pPr>
              <w:jc w:val="center"/>
              <w:rPr>
                <w:rFonts w:cstheme="minorHAnsi"/>
                <w:sz w:val="20"/>
                <w:szCs w:val="20"/>
              </w:rPr>
            </w:pPr>
            <w:r w:rsidRPr="00402CBD">
              <w:rPr>
                <w:rFonts w:cstheme="minorHAnsi"/>
                <w:color w:val="000000"/>
                <w:sz w:val="20"/>
                <w:szCs w:val="20"/>
              </w:rPr>
              <w:t>66</w:t>
            </w:r>
          </w:p>
        </w:tc>
        <w:tc>
          <w:tcPr>
            <w:tcW w:w="2230" w:type="dxa"/>
            <w:tcBorders>
              <w:top w:val="nil"/>
              <w:left w:val="nil"/>
              <w:bottom w:val="single" w:sz="8" w:space="0" w:color="auto"/>
              <w:right w:val="single" w:sz="8" w:space="0" w:color="auto"/>
            </w:tcBorders>
            <w:shd w:val="clear" w:color="auto" w:fill="auto"/>
            <w:noWrap/>
            <w:vAlign w:val="center"/>
            <w:hideMark/>
          </w:tcPr>
          <w:p w14:paraId="4E3128BF" w14:textId="57AA403F" w:rsidR="00655057" w:rsidRPr="008E3FA9" w:rsidRDefault="00655057" w:rsidP="00655057">
            <w:pPr>
              <w:jc w:val="center"/>
              <w:rPr>
                <w:rFonts w:cstheme="minorHAnsi"/>
                <w:sz w:val="20"/>
                <w:szCs w:val="20"/>
              </w:rPr>
            </w:pPr>
            <w:r w:rsidRPr="00402CBD">
              <w:rPr>
                <w:rFonts w:cstheme="minorHAnsi"/>
                <w:color w:val="000000"/>
                <w:sz w:val="20"/>
                <w:szCs w:val="20"/>
              </w:rPr>
              <w:t>8</w:t>
            </w:r>
          </w:p>
        </w:tc>
        <w:tc>
          <w:tcPr>
            <w:tcW w:w="2113" w:type="dxa"/>
            <w:tcBorders>
              <w:top w:val="nil"/>
              <w:left w:val="nil"/>
              <w:bottom w:val="single" w:sz="8" w:space="0" w:color="auto"/>
              <w:right w:val="single" w:sz="8" w:space="0" w:color="auto"/>
            </w:tcBorders>
            <w:shd w:val="clear" w:color="auto" w:fill="auto"/>
            <w:noWrap/>
            <w:vAlign w:val="center"/>
            <w:hideMark/>
          </w:tcPr>
          <w:p w14:paraId="4EF5117C" w14:textId="08DBDFB8" w:rsidR="00655057" w:rsidRPr="008E3FA9" w:rsidRDefault="00655057" w:rsidP="00655057">
            <w:pPr>
              <w:jc w:val="center"/>
              <w:rPr>
                <w:rFonts w:cstheme="minorHAnsi"/>
                <w:sz w:val="20"/>
                <w:szCs w:val="20"/>
              </w:rPr>
            </w:pPr>
            <w:r w:rsidRPr="00402CBD">
              <w:rPr>
                <w:rFonts w:cstheme="minorHAnsi"/>
                <w:color w:val="000000"/>
                <w:sz w:val="20"/>
                <w:szCs w:val="20"/>
              </w:rPr>
              <w:t>58</w:t>
            </w:r>
          </w:p>
        </w:tc>
        <w:tc>
          <w:tcPr>
            <w:tcW w:w="974" w:type="dxa"/>
            <w:tcBorders>
              <w:top w:val="nil"/>
              <w:left w:val="nil"/>
              <w:bottom w:val="single" w:sz="8" w:space="0" w:color="auto"/>
              <w:right w:val="single" w:sz="8" w:space="0" w:color="auto"/>
            </w:tcBorders>
            <w:shd w:val="clear" w:color="auto" w:fill="auto"/>
            <w:noWrap/>
            <w:vAlign w:val="center"/>
          </w:tcPr>
          <w:p w14:paraId="2AACA3AE" w14:textId="1B0D8FDA" w:rsidR="00655057" w:rsidRPr="008E3FA9" w:rsidRDefault="00655057" w:rsidP="00655057">
            <w:pPr>
              <w:jc w:val="center"/>
              <w:rPr>
                <w:rFonts w:cstheme="minorHAnsi"/>
                <w:sz w:val="20"/>
                <w:szCs w:val="20"/>
              </w:rPr>
            </w:pPr>
            <w:r w:rsidRPr="00402CBD">
              <w:rPr>
                <w:rFonts w:cstheme="minorHAnsi"/>
                <w:color w:val="000000"/>
                <w:sz w:val="20"/>
                <w:szCs w:val="20"/>
              </w:rPr>
              <w:t>71</w:t>
            </w:r>
          </w:p>
        </w:tc>
      </w:tr>
      <w:tr w:rsidR="00655057" w:rsidRPr="008E3FA9" w14:paraId="00150171" w14:textId="77777777" w:rsidTr="00655057">
        <w:trPr>
          <w:trHeight w:val="288"/>
        </w:trPr>
        <w:tc>
          <w:tcPr>
            <w:tcW w:w="1646" w:type="dxa"/>
            <w:tcBorders>
              <w:top w:val="nil"/>
              <w:left w:val="single" w:sz="8" w:space="0" w:color="auto"/>
              <w:bottom w:val="single" w:sz="8" w:space="0" w:color="auto"/>
              <w:right w:val="single" w:sz="8" w:space="0" w:color="auto"/>
            </w:tcBorders>
            <w:shd w:val="clear" w:color="auto" w:fill="auto"/>
            <w:noWrap/>
            <w:vAlign w:val="center"/>
            <w:hideMark/>
          </w:tcPr>
          <w:p w14:paraId="50698DBC" w14:textId="2C4051F2" w:rsidR="00655057" w:rsidRPr="008E3FA9" w:rsidRDefault="00655057" w:rsidP="00655057">
            <w:pPr>
              <w:rPr>
                <w:rFonts w:cstheme="minorHAnsi"/>
                <w:sz w:val="20"/>
                <w:szCs w:val="20"/>
              </w:rPr>
            </w:pPr>
            <w:r w:rsidRPr="00402CBD">
              <w:rPr>
                <w:rFonts w:cstheme="minorHAnsi"/>
                <w:color w:val="000000"/>
                <w:sz w:val="20"/>
                <w:szCs w:val="20"/>
              </w:rPr>
              <w:t>Terrestrial Invertebrates</w:t>
            </w:r>
          </w:p>
        </w:tc>
        <w:tc>
          <w:tcPr>
            <w:tcW w:w="1018" w:type="dxa"/>
            <w:tcBorders>
              <w:top w:val="nil"/>
              <w:left w:val="nil"/>
              <w:bottom w:val="single" w:sz="8" w:space="0" w:color="auto"/>
              <w:right w:val="single" w:sz="8" w:space="0" w:color="auto"/>
            </w:tcBorders>
            <w:shd w:val="clear" w:color="auto" w:fill="auto"/>
            <w:vAlign w:val="center"/>
            <w:hideMark/>
          </w:tcPr>
          <w:p w14:paraId="7C6F341E" w14:textId="6C7703FE" w:rsidR="00655057" w:rsidRPr="008E3FA9" w:rsidRDefault="00655057" w:rsidP="00655057">
            <w:pPr>
              <w:jc w:val="center"/>
              <w:rPr>
                <w:rFonts w:cstheme="minorHAnsi"/>
                <w:sz w:val="20"/>
                <w:szCs w:val="20"/>
              </w:rPr>
            </w:pPr>
            <w:r w:rsidRPr="00402CBD">
              <w:rPr>
                <w:rFonts w:cstheme="minorHAnsi"/>
                <w:color w:val="000000"/>
                <w:sz w:val="20"/>
                <w:szCs w:val="20"/>
              </w:rPr>
              <w:t>19</w:t>
            </w:r>
          </w:p>
        </w:tc>
        <w:tc>
          <w:tcPr>
            <w:tcW w:w="947" w:type="dxa"/>
            <w:tcBorders>
              <w:top w:val="nil"/>
              <w:left w:val="nil"/>
              <w:bottom w:val="single" w:sz="8" w:space="0" w:color="auto"/>
              <w:right w:val="single" w:sz="8" w:space="0" w:color="auto"/>
            </w:tcBorders>
            <w:shd w:val="clear" w:color="auto" w:fill="auto"/>
            <w:vAlign w:val="center"/>
          </w:tcPr>
          <w:p w14:paraId="512F6666" w14:textId="551600AB" w:rsidR="00655057" w:rsidRPr="008E3FA9" w:rsidRDefault="00655057" w:rsidP="00655057">
            <w:pPr>
              <w:jc w:val="center"/>
              <w:rPr>
                <w:rFonts w:cstheme="minorHAnsi"/>
                <w:sz w:val="20"/>
                <w:szCs w:val="20"/>
              </w:rPr>
            </w:pPr>
            <w:r w:rsidRPr="00402CBD">
              <w:rPr>
                <w:rFonts w:cstheme="minorHAnsi"/>
                <w:color w:val="000000"/>
                <w:sz w:val="20"/>
                <w:szCs w:val="20"/>
              </w:rPr>
              <w:t>30</w:t>
            </w:r>
          </w:p>
        </w:tc>
        <w:tc>
          <w:tcPr>
            <w:tcW w:w="2230" w:type="dxa"/>
            <w:tcBorders>
              <w:top w:val="nil"/>
              <w:left w:val="nil"/>
              <w:bottom w:val="single" w:sz="8" w:space="0" w:color="auto"/>
              <w:right w:val="single" w:sz="8" w:space="0" w:color="auto"/>
            </w:tcBorders>
            <w:shd w:val="clear" w:color="auto" w:fill="auto"/>
            <w:noWrap/>
            <w:vAlign w:val="center"/>
            <w:hideMark/>
          </w:tcPr>
          <w:p w14:paraId="22782881" w14:textId="3D6161C5" w:rsidR="00655057" w:rsidRPr="008E3FA9" w:rsidRDefault="00655057" w:rsidP="00655057">
            <w:pPr>
              <w:jc w:val="center"/>
              <w:rPr>
                <w:rFonts w:cstheme="minorHAnsi"/>
                <w:sz w:val="20"/>
                <w:szCs w:val="20"/>
              </w:rPr>
            </w:pPr>
            <w:r w:rsidRPr="00402CBD">
              <w:rPr>
                <w:rFonts w:cstheme="minorHAnsi"/>
                <w:color w:val="000000"/>
                <w:sz w:val="20"/>
                <w:szCs w:val="20"/>
              </w:rPr>
              <w:t>11</w:t>
            </w:r>
          </w:p>
        </w:tc>
        <w:tc>
          <w:tcPr>
            <w:tcW w:w="2113" w:type="dxa"/>
            <w:tcBorders>
              <w:top w:val="nil"/>
              <w:left w:val="nil"/>
              <w:bottom w:val="single" w:sz="8" w:space="0" w:color="auto"/>
              <w:right w:val="single" w:sz="8" w:space="0" w:color="auto"/>
            </w:tcBorders>
            <w:shd w:val="clear" w:color="auto" w:fill="auto"/>
            <w:noWrap/>
            <w:vAlign w:val="center"/>
            <w:hideMark/>
          </w:tcPr>
          <w:p w14:paraId="76B6A158" w14:textId="35ECD324" w:rsidR="00655057" w:rsidRPr="008E3FA9" w:rsidRDefault="00655057" w:rsidP="00655057">
            <w:pPr>
              <w:jc w:val="center"/>
              <w:rPr>
                <w:rFonts w:cstheme="minorHAnsi"/>
                <w:sz w:val="20"/>
                <w:szCs w:val="20"/>
              </w:rPr>
            </w:pPr>
            <w:r w:rsidRPr="00402CBD">
              <w:rPr>
                <w:rFonts w:cstheme="minorHAnsi"/>
                <w:color w:val="000000"/>
                <w:sz w:val="20"/>
                <w:szCs w:val="20"/>
              </w:rPr>
              <w:t>19</w:t>
            </w:r>
          </w:p>
        </w:tc>
        <w:tc>
          <w:tcPr>
            <w:tcW w:w="974" w:type="dxa"/>
            <w:tcBorders>
              <w:top w:val="nil"/>
              <w:left w:val="nil"/>
              <w:bottom w:val="single" w:sz="8" w:space="0" w:color="auto"/>
              <w:right w:val="single" w:sz="8" w:space="0" w:color="auto"/>
            </w:tcBorders>
            <w:shd w:val="clear" w:color="auto" w:fill="auto"/>
            <w:noWrap/>
            <w:vAlign w:val="center"/>
          </w:tcPr>
          <w:p w14:paraId="5758ADEB" w14:textId="3DC0C7F4" w:rsidR="00655057" w:rsidRPr="008E3FA9" w:rsidRDefault="00655057" w:rsidP="00655057">
            <w:pPr>
              <w:jc w:val="center"/>
              <w:rPr>
                <w:rFonts w:cstheme="minorHAnsi"/>
                <w:sz w:val="20"/>
                <w:szCs w:val="20"/>
              </w:rPr>
            </w:pPr>
            <w:r w:rsidRPr="00402CBD">
              <w:rPr>
                <w:rFonts w:cstheme="minorHAnsi"/>
                <w:color w:val="000000"/>
                <w:sz w:val="20"/>
                <w:szCs w:val="20"/>
              </w:rPr>
              <w:t>49</w:t>
            </w:r>
          </w:p>
        </w:tc>
      </w:tr>
      <w:tr w:rsidR="00655057" w:rsidRPr="008E3FA9" w14:paraId="2C429128" w14:textId="77777777" w:rsidTr="00655057">
        <w:trPr>
          <w:trHeight w:val="288"/>
        </w:trPr>
        <w:tc>
          <w:tcPr>
            <w:tcW w:w="1646" w:type="dxa"/>
            <w:tcBorders>
              <w:top w:val="nil"/>
              <w:left w:val="single" w:sz="8" w:space="0" w:color="auto"/>
              <w:bottom w:val="single" w:sz="8" w:space="0" w:color="auto"/>
              <w:right w:val="single" w:sz="8" w:space="0" w:color="auto"/>
            </w:tcBorders>
            <w:shd w:val="clear" w:color="000000" w:fill="D9D9D9"/>
            <w:noWrap/>
            <w:vAlign w:val="center"/>
            <w:hideMark/>
          </w:tcPr>
          <w:p w14:paraId="40E50333" w14:textId="1ACB1936" w:rsidR="00655057" w:rsidRPr="008E3FA9" w:rsidRDefault="00655057" w:rsidP="00655057">
            <w:pPr>
              <w:rPr>
                <w:rFonts w:cstheme="minorHAnsi"/>
                <w:sz w:val="20"/>
                <w:szCs w:val="20"/>
              </w:rPr>
            </w:pPr>
            <w:r w:rsidRPr="00402CBD">
              <w:rPr>
                <w:rFonts w:cstheme="minorHAnsi"/>
                <w:color w:val="000000"/>
                <w:sz w:val="20"/>
                <w:szCs w:val="20"/>
              </w:rPr>
              <w:t>Total</w:t>
            </w:r>
          </w:p>
        </w:tc>
        <w:tc>
          <w:tcPr>
            <w:tcW w:w="1018" w:type="dxa"/>
            <w:tcBorders>
              <w:top w:val="nil"/>
              <w:left w:val="nil"/>
              <w:bottom w:val="single" w:sz="8" w:space="0" w:color="auto"/>
              <w:right w:val="single" w:sz="8" w:space="0" w:color="auto"/>
            </w:tcBorders>
            <w:shd w:val="clear" w:color="000000" w:fill="D9D9D9"/>
            <w:vAlign w:val="center"/>
            <w:hideMark/>
          </w:tcPr>
          <w:p w14:paraId="2CB88961" w14:textId="2AF09BC7" w:rsidR="00655057" w:rsidRPr="008E3FA9" w:rsidRDefault="00655057" w:rsidP="00655057">
            <w:pPr>
              <w:jc w:val="center"/>
              <w:rPr>
                <w:rFonts w:cstheme="minorHAnsi"/>
                <w:sz w:val="20"/>
                <w:szCs w:val="20"/>
              </w:rPr>
            </w:pPr>
            <w:r w:rsidRPr="00402CBD">
              <w:rPr>
                <w:rFonts w:cstheme="minorHAnsi"/>
                <w:color w:val="000000"/>
                <w:sz w:val="20"/>
                <w:szCs w:val="20"/>
              </w:rPr>
              <w:t>412</w:t>
            </w:r>
          </w:p>
        </w:tc>
        <w:tc>
          <w:tcPr>
            <w:tcW w:w="947" w:type="dxa"/>
            <w:tcBorders>
              <w:top w:val="nil"/>
              <w:left w:val="nil"/>
              <w:bottom w:val="single" w:sz="8" w:space="0" w:color="auto"/>
              <w:right w:val="single" w:sz="8" w:space="0" w:color="auto"/>
            </w:tcBorders>
            <w:shd w:val="clear" w:color="000000" w:fill="D9D9D9"/>
            <w:vAlign w:val="center"/>
            <w:hideMark/>
          </w:tcPr>
          <w:p w14:paraId="3E7B2B26" w14:textId="4C98A2DA" w:rsidR="00655057" w:rsidRPr="008E3FA9" w:rsidRDefault="00655057" w:rsidP="00655057">
            <w:pPr>
              <w:jc w:val="center"/>
              <w:rPr>
                <w:rFonts w:cstheme="minorHAnsi"/>
                <w:sz w:val="20"/>
                <w:szCs w:val="20"/>
              </w:rPr>
            </w:pPr>
            <w:r w:rsidRPr="00402CBD">
              <w:rPr>
                <w:rFonts w:cstheme="minorHAnsi"/>
                <w:color w:val="000000"/>
                <w:sz w:val="20"/>
                <w:szCs w:val="20"/>
              </w:rPr>
              <w:t>380</w:t>
            </w:r>
          </w:p>
        </w:tc>
        <w:tc>
          <w:tcPr>
            <w:tcW w:w="2230" w:type="dxa"/>
            <w:tcBorders>
              <w:top w:val="nil"/>
              <w:left w:val="nil"/>
              <w:bottom w:val="single" w:sz="8" w:space="0" w:color="auto"/>
              <w:right w:val="single" w:sz="8" w:space="0" w:color="auto"/>
            </w:tcBorders>
            <w:shd w:val="clear" w:color="000000" w:fill="D9D9D9"/>
            <w:noWrap/>
            <w:vAlign w:val="center"/>
            <w:hideMark/>
          </w:tcPr>
          <w:p w14:paraId="163333A3" w14:textId="6EACA398" w:rsidR="00655057" w:rsidRPr="008E3FA9" w:rsidRDefault="00655057" w:rsidP="00655057">
            <w:pPr>
              <w:jc w:val="center"/>
              <w:rPr>
                <w:rFonts w:cstheme="minorHAnsi"/>
                <w:sz w:val="20"/>
                <w:szCs w:val="20"/>
              </w:rPr>
            </w:pPr>
            <w:r w:rsidRPr="00402CBD">
              <w:rPr>
                <w:rFonts w:cstheme="minorHAnsi"/>
                <w:color w:val="000000"/>
                <w:sz w:val="20"/>
                <w:szCs w:val="20"/>
              </w:rPr>
              <w:t>52</w:t>
            </w:r>
          </w:p>
        </w:tc>
        <w:tc>
          <w:tcPr>
            <w:tcW w:w="2113" w:type="dxa"/>
            <w:tcBorders>
              <w:top w:val="nil"/>
              <w:left w:val="nil"/>
              <w:bottom w:val="single" w:sz="8" w:space="0" w:color="auto"/>
              <w:right w:val="single" w:sz="8" w:space="0" w:color="auto"/>
            </w:tcBorders>
            <w:shd w:val="clear" w:color="000000" w:fill="D9D9D9"/>
            <w:noWrap/>
            <w:vAlign w:val="center"/>
            <w:hideMark/>
          </w:tcPr>
          <w:p w14:paraId="4550BE18" w14:textId="3A0E2F13" w:rsidR="00655057" w:rsidRPr="008E3FA9" w:rsidRDefault="00655057" w:rsidP="00655057">
            <w:pPr>
              <w:jc w:val="center"/>
              <w:rPr>
                <w:rFonts w:cstheme="minorHAnsi"/>
                <w:sz w:val="20"/>
                <w:szCs w:val="20"/>
              </w:rPr>
            </w:pPr>
            <w:r w:rsidRPr="00402CBD">
              <w:rPr>
                <w:rFonts w:cstheme="minorHAnsi"/>
                <w:color w:val="000000"/>
                <w:sz w:val="20"/>
                <w:szCs w:val="20"/>
              </w:rPr>
              <w:t>328</w:t>
            </w:r>
          </w:p>
        </w:tc>
        <w:tc>
          <w:tcPr>
            <w:tcW w:w="974" w:type="dxa"/>
            <w:tcBorders>
              <w:top w:val="nil"/>
              <w:left w:val="nil"/>
              <w:bottom w:val="single" w:sz="8" w:space="0" w:color="auto"/>
              <w:right w:val="single" w:sz="8" w:space="0" w:color="auto"/>
            </w:tcBorders>
            <w:shd w:val="clear" w:color="000000" w:fill="D9D9D9"/>
            <w:noWrap/>
            <w:vAlign w:val="center"/>
            <w:hideMark/>
          </w:tcPr>
          <w:p w14:paraId="45997C4E" w14:textId="6016BE9D" w:rsidR="00655057" w:rsidRPr="008E3FA9" w:rsidRDefault="00655057" w:rsidP="00655057">
            <w:pPr>
              <w:jc w:val="center"/>
              <w:rPr>
                <w:rFonts w:cstheme="minorHAnsi"/>
                <w:sz w:val="20"/>
                <w:szCs w:val="20"/>
              </w:rPr>
            </w:pPr>
            <w:r w:rsidRPr="00402CBD">
              <w:rPr>
                <w:rFonts w:cstheme="minorHAnsi"/>
                <w:color w:val="000000"/>
                <w:sz w:val="20"/>
                <w:szCs w:val="20"/>
              </w:rPr>
              <w:t>792</w:t>
            </w:r>
          </w:p>
        </w:tc>
      </w:tr>
      <w:tr w:rsidR="00655057" w:rsidRPr="008E3FA9" w14:paraId="2E242040" w14:textId="77777777" w:rsidTr="00655057">
        <w:trPr>
          <w:trHeight w:val="288"/>
        </w:trPr>
        <w:tc>
          <w:tcPr>
            <w:tcW w:w="1646" w:type="dxa"/>
            <w:tcBorders>
              <w:top w:val="nil"/>
              <w:left w:val="single" w:sz="8" w:space="0" w:color="auto"/>
              <w:bottom w:val="single" w:sz="8" w:space="0" w:color="auto"/>
              <w:right w:val="single" w:sz="8" w:space="0" w:color="auto"/>
            </w:tcBorders>
            <w:shd w:val="clear" w:color="000000" w:fill="D9D9D9"/>
            <w:noWrap/>
            <w:vAlign w:val="center"/>
            <w:hideMark/>
          </w:tcPr>
          <w:p w14:paraId="10C776B0" w14:textId="5BBAF190" w:rsidR="00655057" w:rsidRPr="008E3FA9" w:rsidRDefault="00655057" w:rsidP="00655057">
            <w:pPr>
              <w:rPr>
                <w:rFonts w:cstheme="minorHAnsi"/>
                <w:sz w:val="20"/>
                <w:szCs w:val="20"/>
              </w:rPr>
            </w:pPr>
            <w:r w:rsidRPr="00402CBD">
              <w:rPr>
                <w:rFonts w:cstheme="minorHAnsi"/>
                <w:color w:val="000000"/>
                <w:sz w:val="20"/>
                <w:szCs w:val="20"/>
              </w:rPr>
              <w:t>Percent of total</w:t>
            </w:r>
          </w:p>
        </w:tc>
        <w:tc>
          <w:tcPr>
            <w:tcW w:w="1018" w:type="dxa"/>
            <w:tcBorders>
              <w:top w:val="nil"/>
              <w:left w:val="nil"/>
              <w:bottom w:val="single" w:sz="8" w:space="0" w:color="auto"/>
              <w:right w:val="single" w:sz="8" w:space="0" w:color="auto"/>
            </w:tcBorders>
            <w:shd w:val="clear" w:color="000000" w:fill="D9D9D9"/>
            <w:noWrap/>
            <w:vAlign w:val="center"/>
            <w:hideMark/>
          </w:tcPr>
          <w:p w14:paraId="4F20F888" w14:textId="6E03FD29" w:rsidR="00655057" w:rsidRPr="008E3FA9" w:rsidRDefault="00655057" w:rsidP="00655057">
            <w:pPr>
              <w:jc w:val="center"/>
              <w:rPr>
                <w:rFonts w:cstheme="minorHAnsi"/>
                <w:sz w:val="20"/>
                <w:szCs w:val="20"/>
              </w:rPr>
            </w:pPr>
            <w:r w:rsidRPr="00402CBD">
              <w:rPr>
                <w:rFonts w:cstheme="minorHAnsi"/>
                <w:color w:val="000000"/>
                <w:sz w:val="20"/>
                <w:szCs w:val="20"/>
              </w:rPr>
              <w:t>52%</w:t>
            </w:r>
          </w:p>
        </w:tc>
        <w:tc>
          <w:tcPr>
            <w:tcW w:w="947" w:type="dxa"/>
            <w:tcBorders>
              <w:top w:val="nil"/>
              <w:left w:val="nil"/>
              <w:bottom w:val="single" w:sz="8" w:space="0" w:color="auto"/>
              <w:right w:val="single" w:sz="8" w:space="0" w:color="auto"/>
            </w:tcBorders>
            <w:shd w:val="clear" w:color="000000" w:fill="D9D9D9"/>
            <w:noWrap/>
            <w:vAlign w:val="center"/>
            <w:hideMark/>
          </w:tcPr>
          <w:p w14:paraId="3EEB54E5" w14:textId="5E6DA6D4" w:rsidR="00655057" w:rsidRPr="008E3FA9" w:rsidRDefault="00655057" w:rsidP="00655057">
            <w:pPr>
              <w:jc w:val="center"/>
              <w:rPr>
                <w:rFonts w:cstheme="minorHAnsi"/>
                <w:sz w:val="20"/>
                <w:szCs w:val="20"/>
              </w:rPr>
            </w:pPr>
            <w:r w:rsidRPr="00402CBD">
              <w:rPr>
                <w:rFonts w:cstheme="minorHAnsi"/>
                <w:color w:val="000000"/>
                <w:sz w:val="20"/>
                <w:szCs w:val="20"/>
              </w:rPr>
              <w:t>48%</w:t>
            </w:r>
          </w:p>
        </w:tc>
        <w:tc>
          <w:tcPr>
            <w:tcW w:w="2230" w:type="dxa"/>
            <w:tcBorders>
              <w:top w:val="nil"/>
              <w:left w:val="nil"/>
              <w:bottom w:val="single" w:sz="8" w:space="0" w:color="auto"/>
              <w:right w:val="single" w:sz="8" w:space="0" w:color="auto"/>
            </w:tcBorders>
            <w:shd w:val="clear" w:color="000000" w:fill="D9D9D9"/>
            <w:noWrap/>
            <w:vAlign w:val="center"/>
            <w:hideMark/>
          </w:tcPr>
          <w:p w14:paraId="6524A6B6" w14:textId="0C7673FC" w:rsidR="00655057" w:rsidRPr="008E3FA9" w:rsidRDefault="00655057" w:rsidP="00655057">
            <w:pPr>
              <w:jc w:val="center"/>
              <w:rPr>
                <w:rFonts w:cstheme="minorHAnsi"/>
                <w:sz w:val="20"/>
                <w:szCs w:val="20"/>
              </w:rPr>
            </w:pPr>
            <w:r w:rsidRPr="00402CBD">
              <w:rPr>
                <w:rFonts w:cstheme="minorHAnsi"/>
                <w:color w:val="000000"/>
                <w:sz w:val="20"/>
                <w:szCs w:val="20"/>
              </w:rPr>
              <w:t>7%</w:t>
            </w:r>
          </w:p>
        </w:tc>
        <w:tc>
          <w:tcPr>
            <w:tcW w:w="2113" w:type="dxa"/>
            <w:tcBorders>
              <w:top w:val="nil"/>
              <w:left w:val="nil"/>
              <w:bottom w:val="single" w:sz="8" w:space="0" w:color="auto"/>
              <w:right w:val="single" w:sz="8" w:space="0" w:color="auto"/>
            </w:tcBorders>
            <w:shd w:val="clear" w:color="000000" w:fill="D9D9D9"/>
            <w:noWrap/>
            <w:vAlign w:val="center"/>
            <w:hideMark/>
          </w:tcPr>
          <w:p w14:paraId="4A1C85EF" w14:textId="00E63586" w:rsidR="00655057" w:rsidRPr="008E3FA9" w:rsidRDefault="00655057" w:rsidP="00655057">
            <w:pPr>
              <w:jc w:val="center"/>
              <w:rPr>
                <w:rFonts w:cstheme="minorHAnsi"/>
                <w:sz w:val="20"/>
                <w:szCs w:val="20"/>
              </w:rPr>
            </w:pPr>
            <w:r w:rsidRPr="00402CBD">
              <w:rPr>
                <w:rFonts w:cstheme="minorHAnsi"/>
                <w:color w:val="000000"/>
                <w:sz w:val="20"/>
                <w:szCs w:val="20"/>
              </w:rPr>
              <w:t>41%</w:t>
            </w:r>
          </w:p>
        </w:tc>
        <w:tc>
          <w:tcPr>
            <w:tcW w:w="974" w:type="dxa"/>
            <w:tcBorders>
              <w:top w:val="nil"/>
              <w:left w:val="nil"/>
              <w:bottom w:val="single" w:sz="8" w:space="0" w:color="auto"/>
              <w:right w:val="single" w:sz="8" w:space="0" w:color="auto"/>
            </w:tcBorders>
            <w:shd w:val="clear" w:color="000000" w:fill="D9D9D9"/>
            <w:noWrap/>
            <w:vAlign w:val="center"/>
            <w:hideMark/>
          </w:tcPr>
          <w:p w14:paraId="434AF84B" w14:textId="0683CC9E" w:rsidR="00655057" w:rsidRPr="008E3FA9" w:rsidRDefault="00655057" w:rsidP="00655057">
            <w:pPr>
              <w:jc w:val="center"/>
              <w:rPr>
                <w:rFonts w:cstheme="minorHAnsi"/>
                <w:sz w:val="20"/>
                <w:szCs w:val="20"/>
              </w:rPr>
            </w:pPr>
            <w:r w:rsidRPr="00402CBD">
              <w:rPr>
                <w:rFonts w:cstheme="minorHAnsi"/>
                <w:color w:val="000000"/>
                <w:sz w:val="20"/>
                <w:szCs w:val="20"/>
              </w:rPr>
              <w:t> </w:t>
            </w:r>
          </w:p>
        </w:tc>
      </w:tr>
    </w:tbl>
    <w:p w14:paraId="3AF60A45" w14:textId="77777777" w:rsidR="00B408AC" w:rsidRDefault="00B408AC" w:rsidP="00B408AC">
      <w:pPr>
        <w:rPr>
          <w:sz w:val="20"/>
        </w:rPr>
      </w:pPr>
    </w:p>
    <w:p w14:paraId="0BF4DCCD" w14:textId="77777777" w:rsidR="00B408AC" w:rsidRPr="00517D5C" w:rsidRDefault="00B408AC" w:rsidP="00B408AC">
      <w:pPr>
        <w:rPr>
          <w:sz w:val="20"/>
        </w:rPr>
      </w:pPr>
    </w:p>
    <w:p w14:paraId="6E18ECC4" w14:textId="77777777" w:rsidR="009A5892" w:rsidRDefault="009A5892" w:rsidP="00937150">
      <w:pPr>
        <w:rPr>
          <w:b/>
        </w:rPr>
      </w:pPr>
    </w:p>
    <w:p w14:paraId="55DD1A74" w14:textId="1FEDDA93" w:rsidR="00B408AC" w:rsidRDefault="00B408AC" w:rsidP="00B408AC">
      <w:pPr>
        <w:rPr>
          <w:noProof/>
          <w:sz w:val="20"/>
        </w:rPr>
      </w:pPr>
      <w:r w:rsidRPr="00110D58">
        <w:rPr>
          <w:b/>
        </w:rPr>
        <w:t>T</w:t>
      </w:r>
      <w:r>
        <w:rPr>
          <w:b/>
        </w:rPr>
        <w:t>able 3.</w:t>
      </w:r>
      <w:r w:rsidRPr="00110D58">
        <w:rPr>
          <w:b/>
        </w:rPr>
        <w:t xml:space="preserve"> </w:t>
      </w:r>
      <w:r>
        <w:rPr>
          <w:b/>
        </w:rPr>
        <w:t>Classification of LAA Determinations by Strength of Evidence.</w:t>
      </w:r>
    </w:p>
    <w:tbl>
      <w:tblPr>
        <w:tblStyle w:val="TableGrid"/>
        <w:tblW w:w="8928" w:type="dxa"/>
        <w:tblLook w:val="04A0" w:firstRow="1" w:lastRow="0" w:firstColumn="1" w:lastColumn="0" w:noHBand="0" w:noVBand="1"/>
      </w:tblPr>
      <w:tblGrid>
        <w:gridCol w:w="3020"/>
        <w:gridCol w:w="1655"/>
        <w:gridCol w:w="1497"/>
        <w:gridCol w:w="1168"/>
        <w:gridCol w:w="1588"/>
      </w:tblGrid>
      <w:tr w:rsidR="00B408AC" w:rsidRPr="00081CD7" w14:paraId="2A59CC4A" w14:textId="77777777" w:rsidTr="00655057">
        <w:trPr>
          <w:trHeight w:val="300"/>
        </w:trPr>
        <w:tc>
          <w:tcPr>
            <w:tcW w:w="3020" w:type="dxa"/>
            <w:vMerge w:val="restart"/>
            <w:shd w:val="clear" w:color="auto" w:fill="D9D9D9" w:themeFill="background1" w:themeFillShade="D9"/>
            <w:noWrap/>
            <w:vAlign w:val="center"/>
          </w:tcPr>
          <w:p w14:paraId="1E4CAEF5" w14:textId="77777777" w:rsidR="00B408AC" w:rsidRPr="00DE00CB" w:rsidRDefault="00B408AC" w:rsidP="008E3FA9">
            <w:pPr>
              <w:jc w:val="center"/>
              <w:rPr>
                <w:b/>
                <w:sz w:val="20"/>
                <w:szCs w:val="20"/>
              </w:rPr>
            </w:pPr>
            <w:r w:rsidRPr="00DE00CB">
              <w:rPr>
                <w:b/>
                <w:sz w:val="20"/>
                <w:szCs w:val="20"/>
              </w:rPr>
              <w:t>Strength of LAA call</w:t>
            </w:r>
          </w:p>
        </w:tc>
        <w:tc>
          <w:tcPr>
            <w:tcW w:w="3152" w:type="dxa"/>
            <w:gridSpan w:val="2"/>
            <w:shd w:val="clear" w:color="auto" w:fill="D9D9D9" w:themeFill="background1" w:themeFillShade="D9"/>
            <w:noWrap/>
            <w:vAlign w:val="center"/>
          </w:tcPr>
          <w:p w14:paraId="7EE0A62C" w14:textId="77777777" w:rsidR="00B408AC" w:rsidRPr="00DE00CB" w:rsidRDefault="00B408AC" w:rsidP="008E3FA9">
            <w:pPr>
              <w:jc w:val="center"/>
              <w:rPr>
                <w:b/>
                <w:sz w:val="20"/>
                <w:szCs w:val="20"/>
              </w:rPr>
            </w:pPr>
            <w:r w:rsidRPr="00DE00CB">
              <w:rPr>
                <w:b/>
                <w:sz w:val="20"/>
                <w:szCs w:val="20"/>
              </w:rPr>
              <w:t>Species range</w:t>
            </w:r>
          </w:p>
        </w:tc>
        <w:tc>
          <w:tcPr>
            <w:tcW w:w="2756" w:type="dxa"/>
            <w:gridSpan w:val="2"/>
            <w:shd w:val="clear" w:color="auto" w:fill="D9D9D9" w:themeFill="background1" w:themeFillShade="D9"/>
            <w:vAlign w:val="center"/>
          </w:tcPr>
          <w:p w14:paraId="0B53D688" w14:textId="77777777" w:rsidR="00B408AC" w:rsidRPr="00DE00CB" w:rsidRDefault="00B408AC" w:rsidP="008E3FA9">
            <w:pPr>
              <w:jc w:val="center"/>
              <w:rPr>
                <w:b/>
                <w:sz w:val="20"/>
                <w:szCs w:val="20"/>
              </w:rPr>
            </w:pPr>
            <w:r w:rsidRPr="00DE00CB">
              <w:rPr>
                <w:b/>
                <w:sz w:val="20"/>
                <w:szCs w:val="20"/>
              </w:rPr>
              <w:t>Critical Habitat</w:t>
            </w:r>
          </w:p>
        </w:tc>
      </w:tr>
      <w:tr w:rsidR="00B408AC" w:rsidRPr="00081CD7" w14:paraId="223832BA" w14:textId="77777777" w:rsidTr="00655057">
        <w:trPr>
          <w:trHeight w:val="300"/>
        </w:trPr>
        <w:tc>
          <w:tcPr>
            <w:tcW w:w="3020" w:type="dxa"/>
            <w:vMerge/>
            <w:shd w:val="clear" w:color="auto" w:fill="D9D9D9" w:themeFill="background1" w:themeFillShade="D9"/>
            <w:noWrap/>
            <w:vAlign w:val="center"/>
          </w:tcPr>
          <w:p w14:paraId="51FF0527" w14:textId="77777777" w:rsidR="00B408AC" w:rsidRPr="00DE00CB" w:rsidRDefault="00B408AC" w:rsidP="008E3FA9">
            <w:pPr>
              <w:jc w:val="center"/>
              <w:rPr>
                <w:b/>
                <w:sz w:val="20"/>
                <w:szCs w:val="20"/>
              </w:rPr>
            </w:pPr>
          </w:p>
        </w:tc>
        <w:tc>
          <w:tcPr>
            <w:tcW w:w="1655" w:type="dxa"/>
            <w:shd w:val="clear" w:color="auto" w:fill="D9D9D9" w:themeFill="background1" w:themeFillShade="D9"/>
            <w:noWrap/>
            <w:vAlign w:val="center"/>
          </w:tcPr>
          <w:p w14:paraId="3F7593F1" w14:textId="77777777" w:rsidR="00B408AC" w:rsidRPr="00DE00CB" w:rsidRDefault="00B408AC" w:rsidP="008E3FA9">
            <w:pPr>
              <w:jc w:val="center"/>
              <w:rPr>
                <w:b/>
                <w:sz w:val="20"/>
                <w:szCs w:val="20"/>
              </w:rPr>
            </w:pPr>
            <w:r w:rsidRPr="00DE00CB">
              <w:rPr>
                <w:b/>
                <w:sz w:val="20"/>
                <w:szCs w:val="20"/>
              </w:rPr>
              <w:t>Number</w:t>
            </w:r>
          </w:p>
        </w:tc>
        <w:tc>
          <w:tcPr>
            <w:tcW w:w="1497" w:type="dxa"/>
            <w:tcBorders>
              <w:bottom w:val="single" w:sz="4" w:space="0" w:color="auto"/>
            </w:tcBorders>
            <w:shd w:val="clear" w:color="auto" w:fill="D9D9D9" w:themeFill="background1" w:themeFillShade="D9"/>
            <w:vAlign w:val="center"/>
          </w:tcPr>
          <w:p w14:paraId="1CB9582C" w14:textId="77777777" w:rsidR="00B408AC" w:rsidRPr="00DE00CB" w:rsidRDefault="00B408AC" w:rsidP="008E3FA9">
            <w:pPr>
              <w:jc w:val="center"/>
              <w:rPr>
                <w:b/>
                <w:sz w:val="20"/>
                <w:szCs w:val="20"/>
              </w:rPr>
            </w:pPr>
            <w:r w:rsidRPr="00DE00CB">
              <w:rPr>
                <w:b/>
                <w:sz w:val="20"/>
                <w:szCs w:val="20"/>
              </w:rPr>
              <w:t>% of LAA determinations</w:t>
            </w:r>
          </w:p>
        </w:tc>
        <w:tc>
          <w:tcPr>
            <w:tcW w:w="1168" w:type="dxa"/>
            <w:tcBorders>
              <w:bottom w:val="single" w:sz="4" w:space="0" w:color="auto"/>
            </w:tcBorders>
            <w:shd w:val="clear" w:color="auto" w:fill="D9D9D9" w:themeFill="background1" w:themeFillShade="D9"/>
            <w:vAlign w:val="center"/>
          </w:tcPr>
          <w:p w14:paraId="0D785EBD" w14:textId="77777777" w:rsidR="00B408AC" w:rsidRPr="00DE00CB" w:rsidRDefault="00B408AC" w:rsidP="008E3FA9">
            <w:pPr>
              <w:jc w:val="center"/>
              <w:rPr>
                <w:b/>
                <w:sz w:val="20"/>
                <w:szCs w:val="20"/>
              </w:rPr>
            </w:pPr>
            <w:r w:rsidRPr="00DE00CB">
              <w:rPr>
                <w:b/>
                <w:sz w:val="20"/>
                <w:szCs w:val="20"/>
              </w:rPr>
              <w:t>Number</w:t>
            </w:r>
          </w:p>
        </w:tc>
        <w:tc>
          <w:tcPr>
            <w:tcW w:w="1588" w:type="dxa"/>
            <w:tcBorders>
              <w:bottom w:val="single" w:sz="4" w:space="0" w:color="auto"/>
            </w:tcBorders>
            <w:shd w:val="clear" w:color="auto" w:fill="D9D9D9" w:themeFill="background1" w:themeFillShade="D9"/>
            <w:vAlign w:val="center"/>
          </w:tcPr>
          <w:p w14:paraId="5DD72877" w14:textId="77777777" w:rsidR="00B408AC" w:rsidRPr="00DE00CB" w:rsidRDefault="00B408AC" w:rsidP="008E3FA9">
            <w:pPr>
              <w:jc w:val="center"/>
              <w:rPr>
                <w:b/>
                <w:sz w:val="20"/>
                <w:szCs w:val="20"/>
              </w:rPr>
            </w:pPr>
            <w:r w:rsidRPr="00DE00CB">
              <w:rPr>
                <w:b/>
                <w:sz w:val="20"/>
                <w:szCs w:val="20"/>
              </w:rPr>
              <w:t>% of LAA determinations</w:t>
            </w:r>
          </w:p>
        </w:tc>
      </w:tr>
      <w:tr w:rsidR="00655057" w:rsidRPr="003C3E42" w14:paraId="41B5800C" w14:textId="77777777" w:rsidTr="00655057">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hideMark/>
          </w:tcPr>
          <w:p w14:paraId="60FEC6B6" w14:textId="4BBC107E" w:rsidR="00655057" w:rsidRPr="00DE00CB" w:rsidRDefault="00655057" w:rsidP="00655057">
            <w:pPr>
              <w:rPr>
                <w:sz w:val="20"/>
                <w:szCs w:val="20"/>
              </w:rPr>
            </w:pPr>
            <w:r>
              <w:rPr>
                <w:rFonts w:ascii="Calibri" w:hAnsi="Calibri" w:cs="Calibri"/>
                <w:sz w:val="20"/>
                <w:szCs w:val="20"/>
              </w:rPr>
              <w:t>Strongest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291A165A" w14:textId="6A3EF3B2" w:rsidR="00655057" w:rsidRPr="00DE00CB" w:rsidRDefault="00655057" w:rsidP="00655057">
            <w:pPr>
              <w:jc w:val="center"/>
              <w:rPr>
                <w:sz w:val="20"/>
                <w:szCs w:val="20"/>
              </w:rPr>
            </w:pPr>
            <w:r>
              <w:rPr>
                <w:rFonts w:ascii="Calibri" w:hAnsi="Calibri" w:cs="Calibri"/>
                <w:sz w:val="20"/>
                <w:szCs w:val="20"/>
              </w:rPr>
              <w:t>250</w:t>
            </w:r>
          </w:p>
        </w:tc>
        <w:tc>
          <w:tcPr>
            <w:tcW w:w="1497" w:type="dxa"/>
            <w:tcBorders>
              <w:top w:val="nil"/>
              <w:left w:val="nil"/>
              <w:bottom w:val="single" w:sz="8" w:space="0" w:color="auto"/>
              <w:right w:val="single" w:sz="8" w:space="0" w:color="auto"/>
            </w:tcBorders>
            <w:shd w:val="clear" w:color="auto" w:fill="auto"/>
            <w:vAlign w:val="center"/>
          </w:tcPr>
          <w:p w14:paraId="68D83330" w14:textId="0BFC53F5" w:rsidR="00655057" w:rsidRPr="00DE00CB" w:rsidRDefault="00655057" w:rsidP="00655057">
            <w:pPr>
              <w:jc w:val="center"/>
              <w:rPr>
                <w:sz w:val="20"/>
                <w:szCs w:val="20"/>
              </w:rPr>
            </w:pPr>
            <w:r>
              <w:rPr>
                <w:rFonts w:ascii="Calibri" w:hAnsi="Calibri" w:cs="Calibri"/>
                <w:color w:val="000000"/>
                <w:sz w:val="20"/>
                <w:szCs w:val="20"/>
              </w:rPr>
              <w:t>25%</w:t>
            </w:r>
          </w:p>
        </w:tc>
        <w:tc>
          <w:tcPr>
            <w:tcW w:w="1168" w:type="dxa"/>
            <w:tcBorders>
              <w:top w:val="nil"/>
              <w:left w:val="nil"/>
              <w:bottom w:val="single" w:sz="8" w:space="0" w:color="auto"/>
              <w:right w:val="single" w:sz="8" w:space="0" w:color="auto"/>
            </w:tcBorders>
            <w:shd w:val="clear" w:color="auto" w:fill="auto"/>
            <w:vAlign w:val="center"/>
          </w:tcPr>
          <w:p w14:paraId="4930B6FE" w14:textId="6FF99B73" w:rsidR="00655057" w:rsidRPr="00DE00CB" w:rsidRDefault="00655057" w:rsidP="00655057">
            <w:pPr>
              <w:jc w:val="center"/>
              <w:rPr>
                <w:sz w:val="20"/>
                <w:szCs w:val="20"/>
              </w:rPr>
            </w:pPr>
            <w:r>
              <w:rPr>
                <w:rFonts w:ascii="Calibri" w:hAnsi="Calibri" w:cs="Calibri"/>
                <w:sz w:val="20"/>
                <w:szCs w:val="20"/>
              </w:rPr>
              <w:t>60</w:t>
            </w:r>
          </w:p>
        </w:tc>
        <w:tc>
          <w:tcPr>
            <w:tcW w:w="1588" w:type="dxa"/>
            <w:tcBorders>
              <w:top w:val="nil"/>
              <w:left w:val="nil"/>
              <w:bottom w:val="single" w:sz="8" w:space="0" w:color="auto"/>
              <w:right w:val="single" w:sz="8" w:space="0" w:color="auto"/>
            </w:tcBorders>
            <w:shd w:val="clear" w:color="auto" w:fill="auto"/>
            <w:vAlign w:val="center"/>
          </w:tcPr>
          <w:p w14:paraId="6CE90018" w14:textId="479C04E7" w:rsidR="00655057" w:rsidRPr="00DE00CB" w:rsidRDefault="00655057" w:rsidP="00655057">
            <w:pPr>
              <w:jc w:val="center"/>
              <w:rPr>
                <w:sz w:val="20"/>
                <w:szCs w:val="20"/>
              </w:rPr>
            </w:pPr>
            <w:r>
              <w:rPr>
                <w:rFonts w:ascii="Calibri" w:hAnsi="Calibri" w:cs="Calibri"/>
                <w:color w:val="000000"/>
                <w:sz w:val="20"/>
                <w:szCs w:val="20"/>
              </w:rPr>
              <w:t>18%</w:t>
            </w:r>
          </w:p>
        </w:tc>
      </w:tr>
      <w:tr w:rsidR="00655057" w:rsidRPr="003C3E42" w14:paraId="55806766" w14:textId="77777777" w:rsidTr="00655057">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hideMark/>
          </w:tcPr>
          <w:p w14:paraId="6AFE126A" w14:textId="69717B12" w:rsidR="00655057" w:rsidRPr="00DE00CB" w:rsidRDefault="00655057" w:rsidP="00655057">
            <w:pPr>
              <w:rPr>
                <w:sz w:val="20"/>
                <w:szCs w:val="20"/>
              </w:rPr>
            </w:pPr>
            <w:r>
              <w:rPr>
                <w:rFonts w:ascii="Calibri" w:hAnsi="Calibri" w:cs="Calibri"/>
                <w:sz w:val="20"/>
                <w:szCs w:val="20"/>
              </w:rPr>
              <w:t>Moderate evidence of LAA</w:t>
            </w:r>
          </w:p>
        </w:tc>
        <w:tc>
          <w:tcPr>
            <w:tcW w:w="1655" w:type="dxa"/>
            <w:tcBorders>
              <w:top w:val="nil"/>
              <w:left w:val="nil"/>
              <w:bottom w:val="single" w:sz="8" w:space="0" w:color="auto"/>
              <w:right w:val="single" w:sz="8" w:space="0" w:color="auto"/>
            </w:tcBorders>
            <w:shd w:val="clear" w:color="auto" w:fill="auto"/>
            <w:noWrap/>
            <w:vAlign w:val="center"/>
            <w:hideMark/>
          </w:tcPr>
          <w:p w14:paraId="30156658" w14:textId="1A6570E1" w:rsidR="00655057" w:rsidRPr="00DE00CB" w:rsidRDefault="00655057" w:rsidP="00655057">
            <w:pPr>
              <w:jc w:val="center"/>
              <w:rPr>
                <w:sz w:val="20"/>
                <w:szCs w:val="20"/>
              </w:rPr>
            </w:pPr>
            <w:r>
              <w:rPr>
                <w:rFonts w:ascii="Calibri" w:hAnsi="Calibri" w:cs="Calibri"/>
                <w:sz w:val="20"/>
                <w:szCs w:val="20"/>
              </w:rPr>
              <w:t>723</w:t>
            </w:r>
          </w:p>
        </w:tc>
        <w:tc>
          <w:tcPr>
            <w:tcW w:w="1497" w:type="dxa"/>
            <w:tcBorders>
              <w:top w:val="nil"/>
              <w:left w:val="nil"/>
              <w:bottom w:val="single" w:sz="8" w:space="0" w:color="auto"/>
              <w:right w:val="single" w:sz="8" w:space="0" w:color="auto"/>
            </w:tcBorders>
            <w:shd w:val="clear" w:color="auto" w:fill="auto"/>
            <w:vAlign w:val="center"/>
          </w:tcPr>
          <w:p w14:paraId="4003FEEF" w14:textId="0FB255EB" w:rsidR="00655057" w:rsidRPr="00DE00CB" w:rsidRDefault="00655057" w:rsidP="00655057">
            <w:pPr>
              <w:jc w:val="center"/>
              <w:rPr>
                <w:sz w:val="20"/>
                <w:szCs w:val="20"/>
              </w:rPr>
            </w:pPr>
            <w:r>
              <w:rPr>
                <w:rFonts w:ascii="Calibri" w:hAnsi="Calibri" w:cs="Calibri"/>
                <w:color w:val="000000"/>
                <w:sz w:val="20"/>
                <w:szCs w:val="20"/>
              </w:rPr>
              <w:t>71%</w:t>
            </w:r>
          </w:p>
        </w:tc>
        <w:tc>
          <w:tcPr>
            <w:tcW w:w="1168" w:type="dxa"/>
            <w:tcBorders>
              <w:top w:val="nil"/>
              <w:left w:val="nil"/>
              <w:bottom w:val="single" w:sz="8" w:space="0" w:color="auto"/>
              <w:right w:val="single" w:sz="8" w:space="0" w:color="auto"/>
            </w:tcBorders>
            <w:shd w:val="clear" w:color="auto" w:fill="auto"/>
            <w:vAlign w:val="center"/>
          </w:tcPr>
          <w:p w14:paraId="7457DCCE" w14:textId="7FF46B8B" w:rsidR="00655057" w:rsidRPr="00DE00CB" w:rsidRDefault="00655057" w:rsidP="00655057">
            <w:pPr>
              <w:jc w:val="center"/>
              <w:rPr>
                <w:sz w:val="20"/>
                <w:szCs w:val="20"/>
              </w:rPr>
            </w:pPr>
            <w:r>
              <w:rPr>
                <w:rFonts w:ascii="Calibri" w:hAnsi="Calibri" w:cs="Calibri"/>
                <w:sz w:val="20"/>
                <w:szCs w:val="20"/>
              </w:rPr>
              <w:t>253</w:t>
            </w:r>
          </w:p>
        </w:tc>
        <w:tc>
          <w:tcPr>
            <w:tcW w:w="1588" w:type="dxa"/>
            <w:tcBorders>
              <w:top w:val="nil"/>
              <w:left w:val="nil"/>
              <w:bottom w:val="single" w:sz="8" w:space="0" w:color="auto"/>
              <w:right w:val="single" w:sz="8" w:space="0" w:color="auto"/>
            </w:tcBorders>
            <w:shd w:val="clear" w:color="auto" w:fill="auto"/>
            <w:vAlign w:val="center"/>
          </w:tcPr>
          <w:p w14:paraId="69BEBDB3" w14:textId="392FDE9A" w:rsidR="00655057" w:rsidRPr="00DE00CB" w:rsidRDefault="00655057" w:rsidP="00655057">
            <w:pPr>
              <w:jc w:val="center"/>
              <w:rPr>
                <w:sz w:val="20"/>
                <w:szCs w:val="20"/>
              </w:rPr>
            </w:pPr>
            <w:r>
              <w:rPr>
                <w:rFonts w:ascii="Calibri" w:hAnsi="Calibri" w:cs="Calibri"/>
                <w:color w:val="000000"/>
                <w:sz w:val="20"/>
                <w:szCs w:val="20"/>
              </w:rPr>
              <w:t>77%</w:t>
            </w:r>
          </w:p>
        </w:tc>
      </w:tr>
      <w:tr w:rsidR="00655057" w:rsidRPr="003C3E42" w14:paraId="50704EF0" w14:textId="77777777" w:rsidTr="00655057">
        <w:trPr>
          <w:trHeight w:val="300"/>
        </w:trPr>
        <w:tc>
          <w:tcPr>
            <w:tcW w:w="3020" w:type="dxa"/>
            <w:tcBorders>
              <w:top w:val="nil"/>
              <w:left w:val="single" w:sz="8" w:space="0" w:color="auto"/>
              <w:bottom w:val="single" w:sz="8" w:space="0" w:color="auto"/>
              <w:right w:val="single" w:sz="8" w:space="0" w:color="auto"/>
            </w:tcBorders>
            <w:shd w:val="clear" w:color="auto" w:fill="auto"/>
            <w:noWrap/>
            <w:vAlign w:val="center"/>
          </w:tcPr>
          <w:p w14:paraId="3A0B990F" w14:textId="2B76FC7A" w:rsidR="00655057" w:rsidRPr="00DE00CB" w:rsidRDefault="00655057" w:rsidP="00655057">
            <w:pPr>
              <w:rPr>
                <w:sz w:val="20"/>
                <w:szCs w:val="20"/>
              </w:rPr>
            </w:pPr>
            <w:r>
              <w:rPr>
                <w:rFonts w:ascii="Calibri" w:hAnsi="Calibri" w:cs="Calibri"/>
                <w:sz w:val="20"/>
                <w:szCs w:val="20"/>
              </w:rPr>
              <w:t>Weakest evidence of LAA</w:t>
            </w:r>
          </w:p>
        </w:tc>
        <w:tc>
          <w:tcPr>
            <w:tcW w:w="1655" w:type="dxa"/>
            <w:tcBorders>
              <w:top w:val="nil"/>
              <w:left w:val="nil"/>
              <w:bottom w:val="single" w:sz="8" w:space="0" w:color="auto"/>
              <w:right w:val="single" w:sz="8" w:space="0" w:color="auto"/>
            </w:tcBorders>
            <w:shd w:val="clear" w:color="auto" w:fill="auto"/>
            <w:noWrap/>
            <w:vAlign w:val="center"/>
          </w:tcPr>
          <w:p w14:paraId="69FBA897" w14:textId="10B26EE6" w:rsidR="00655057" w:rsidRPr="00DE00CB" w:rsidRDefault="00655057" w:rsidP="00655057">
            <w:pPr>
              <w:jc w:val="center"/>
              <w:rPr>
                <w:sz w:val="20"/>
                <w:szCs w:val="20"/>
              </w:rPr>
            </w:pPr>
            <w:r>
              <w:rPr>
                <w:rFonts w:ascii="Calibri" w:hAnsi="Calibri" w:cs="Calibri"/>
                <w:sz w:val="20"/>
                <w:szCs w:val="20"/>
              </w:rPr>
              <w:t>40</w:t>
            </w:r>
          </w:p>
        </w:tc>
        <w:tc>
          <w:tcPr>
            <w:tcW w:w="1497" w:type="dxa"/>
            <w:tcBorders>
              <w:top w:val="nil"/>
              <w:left w:val="nil"/>
              <w:bottom w:val="single" w:sz="8" w:space="0" w:color="auto"/>
              <w:right w:val="single" w:sz="8" w:space="0" w:color="auto"/>
            </w:tcBorders>
            <w:shd w:val="clear" w:color="auto" w:fill="auto"/>
            <w:vAlign w:val="center"/>
          </w:tcPr>
          <w:p w14:paraId="767FA861" w14:textId="646E06C0" w:rsidR="00655057" w:rsidRPr="00DE00CB" w:rsidRDefault="00655057" w:rsidP="00655057">
            <w:pPr>
              <w:jc w:val="center"/>
              <w:rPr>
                <w:sz w:val="20"/>
                <w:szCs w:val="20"/>
              </w:rPr>
            </w:pPr>
            <w:r>
              <w:rPr>
                <w:rFonts w:ascii="Calibri" w:hAnsi="Calibri" w:cs="Calibri"/>
                <w:color w:val="000000"/>
                <w:sz w:val="20"/>
                <w:szCs w:val="20"/>
              </w:rPr>
              <w:t>4%</w:t>
            </w:r>
          </w:p>
        </w:tc>
        <w:tc>
          <w:tcPr>
            <w:tcW w:w="1168" w:type="dxa"/>
            <w:tcBorders>
              <w:top w:val="nil"/>
              <w:left w:val="nil"/>
              <w:bottom w:val="single" w:sz="8" w:space="0" w:color="auto"/>
              <w:right w:val="single" w:sz="8" w:space="0" w:color="auto"/>
            </w:tcBorders>
            <w:shd w:val="clear" w:color="auto" w:fill="auto"/>
            <w:vAlign w:val="center"/>
          </w:tcPr>
          <w:p w14:paraId="1A6B974A" w14:textId="375098A6" w:rsidR="00655057" w:rsidRPr="00DE00CB" w:rsidRDefault="00655057" w:rsidP="00655057">
            <w:pPr>
              <w:jc w:val="center"/>
              <w:rPr>
                <w:sz w:val="20"/>
                <w:szCs w:val="20"/>
              </w:rPr>
            </w:pPr>
            <w:r>
              <w:rPr>
                <w:rFonts w:ascii="Calibri" w:hAnsi="Calibri" w:cs="Calibri"/>
                <w:sz w:val="20"/>
                <w:szCs w:val="20"/>
              </w:rPr>
              <w:t>15</w:t>
            </w:r>
          </w:p>
        </w:tc>
        <w:tc>
          <w:tcPr>
            <w:tcW w:w="1588" w:type="dxa"/>
            <w:tcBorders>
              <w:top w:val="nil"/>
              <w:left w:val="nil"/>
              <w:bottom w:val="single" w:sz="8" w:space="0" w:color="auto"/>
              <w:right w:val="single" w:sz="8" w:space="0" w:color="auto"/>
            </w:tcBorders>
            <w:shd w:val="clear" w:color="auto" w:fill="auto"/>
            <w:vAlign w:val="center"/>
          </w:tcPr>
          <w:p w14:paraId="2C97A3B6" w14:textId="63E2F527" w:rsidR="00655057" w:rsidRPr="00DE00CB" w:rsidRDefault="00655057" w:rsidP="00655057">
            <w:pPr>
              <w:jc w:val="center"/>
              <w:rPr>
                <w:sz w:val="20"/>
                <w:szCs w:val="20"/>
              </w:rPr>
            </w:pPr>
            <w:r>
              <w:rPr>
                <w:rFonts w:ascii="Calibri" w:hAnsi="Calibri" w:cs="Calibri"/>
                <w:color w:val="000000"/>
                <w:sz w:val="20"/>
                <w:szCs w:val="20"/>
              </w:rPr>
              <w:t>5%</w:t>
            </w:r>
          </w:p>
        </w:tc>
      </w:tr>
    </w:tbl>
    <w:p w14:paraId="7F913483" w14:textId="77777777" w:rsidR="00B408AC" w:rsidRDefault="00B408AC" w:rsidP="00B408AC">
      <w:pPr>
        <w:rPr>
          <w:noProof/>
          <w:sz w:val="20"/>
        </w:rPr>
      </w:pPr>
    </w:p>
    <w:p w14:paraId="1E8D93E5" w14:textId="040F3125" w:rsidR="00634B4C" w:rsidRPr="00634B4C" w:rsidRDefault="00634B4C" w:rsidP="00B408AC">
      <w:pPr>
        <w:rPr>
          <w:sz w:val="20"/>
          <w:szCs w:val="20"/>
        </w:rPr>
      </w:pPr>
    </w:p>
    <w:sectPr w:rsidR="00634B4C" w:rsidRPr="00634B4C" w:rsidSect="001311E9">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CDD13" w16cex:dateUtc="2020-09-29T02:07:00Z"/>
  <w16cex:commentExtensible w16cex:durableId="231CDE29" w16cex:dateUtc="2020-09-29T02:11:00Z"/>
  <w16cex:commentExtensible w16cex:durableId="231CDEEC" w16cex:dateUtc="2020-09-29T02:15:00Z"/>
  <w16cex:commentExtensible w16cex:durableId="231CDF24" w16cex:dateUtc="2020-09-29T02:16:00Z"/>
  <w16cex:commentExtensible w16cex:durableId="231CDF99" w16cex:dateUtc="2020-09-29T02: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38049" w14:textId="77777777" w:rsidR="001C057A" w:rsidRDefault="001C057A" w:rsidP="00330467">
      <w:r>
        <w:separator/>
      </w:r>
    </w:p>
  </w:endnote>
  <w:endnote w:type="continuationSeparator" w:id="0">
    <w:p w14:paraId="7CED0C18" w14:textId="77777777" w:rsidR="001C057A" w:rsidRDefault="001C057A" w:rsidP="00330467">
      <w:r>
        <w:continuationSeparator/>
      </w:r>
    </w:p>
  </w:endnote>
  <w:endnote w:type="continuationNotice" w:id="1">
    <w:p w14:paraId="6F9737F3" w14:textId="77777777" w:rsidR="001C057A" w:rsidRDefault="001C0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433621"/>
      <w:docPartObj>
        <w:docPartGallery w:val="Page Numbers (Bottom of Page)"/>
        <w:docPartUnique/>
      </w:docPartObj>
    </w:sdtPr>
    <w:sdtEndPr>
      <w:rPr>
        <w:noProof/>
      </w:rPr>
    </w:sdtEndPr>
    <w:sdtContent>
      <w:p w14:paraId="0AAFB633" w14:textId="5BE0AC89" w:rsidR="001311E9" w:rsidRDefault="001311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B6F49F" w14:textId="77777777" w:rsidR="00092FF0" w:rsidRDefault="00092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DF36B" w14:textId="77777777" w:rsidR="001C057A" w:rsidRDefault="001C057A" w:rsidP="00330467">
      <w:r>
        <w:separator/>
      </w:r>
    </w:p>
  </w:footnote>
  <w:footnote w:type="continuationSeparator" w:id="0">
    <w:p w14:paraId="4C15C7E9" w14:textId="77777777" w:rsidR="001C057A" w:rsidRDefault="001C057A" w:rsidP="00330467">
      <w:r>
        <w:continuationSeparator/>
      </w:r>
    </w:p>
  </w:footnote>
  <w:footnote w:type="continuationNotice" w:id="1">
    <w:p w14:paraId="5DE34AB7" w14:textId="77777777" w:rsidR="001C057A" w:rsidRDefault="001C057A"/>
  </w:footnote>
  <w:footnote w:id="2">
    <w:p w14:paraId="409A593B" w14:textId="449C250A" w:rsidR="00092FF0" w:rsidRDefault="00092FF0" w:rsidP="00EB33B0">
      <w:pPr>
        <w:pStyle w:val="FootnoteText"/>
      </w:pPr>
      <w:r>
        <w:rPr>
          <w:rStyle w:val="FootnoteReference"/>
        </w:rPr>
        <w:footnoteRef/>
      </w:r>
      <w:r>
        <w:t xml:space="preserve"> Available at: </w:t>
      </w:r>
      <w:hyperlink r:id="rId1" w:tgtFrame="_blank" w:history="1">
        <w:r w:rsidR="001B30FB">
          <w:rPr>
            <w:rStyle w:val="Hyperlink"/>
            <w:bdr w:val="none" w:sz="0" w:space="0" w:color="auto" w:frame="1"/>
            <w:shd w:val="clear" w:color="auto" w:fill="FFFFFF"/>
          </w:rPr>
          <w:t>https://www.epa.gov/endangered-species/revised-method-national-level-listed-species-biological-evaluations-conventional</w:t>
        </w:r>
      </w:hyperlink>
    </w:p>
  </w:footnote>
  <w:footnote w:id="3">
    <w:p w14:paraId="5F0D0456" w14:textId="4FAC842D" w:rsidR="00092FF0" w:rsidRDefault="00092FF0" w:rsidP="00525490">
      <w:pPr>
        <w:pStyle w:val="FootnoteText"/>
      </w:pPr>
      <w:r w:rsidRPr="00B1575D">
        <w:rPr>
          <w:rStyle w:val="FootnoteReference"/>
        </w:rPr>
        <w:footnoteRef/>
      </w:r>
      <w:r w:rsidRPr="00B1575D">
        <w:t xml:space="preserve"> </w:t>
      </w:r>
      <w:r w:rsidRPr="009174AE">
        <w:t>The exposure models can be found at:</w:t>
      </w:r>
      <w:r w:rsidRPr="006461A4">
        <w:t xml:space="preserve"> </w:t>
      </w:r>
      <w:r w:rsidRPr="000C244B">
        <w:t xml:space="preserve"> </w:t>
      </w:r>
      <w:hyperlink r:id="rId2" w:history="1">
        <w:r w:rsidRPr="000C244B">
          <w:t>https://www.epa.gov/pesticide-science-and-assessing-pesticide-risks/models-pesticide-risk-assessment</w:t>
        </w:r>
      </w:hyperlink>
    </w:p>
  </w:footnote>
  <w:footnote w:id="4">
    <w:p w14:paraId="310C24D4" w14:textId="77777777" w:rsidR="00631002" w:rsidRDefault="00631002" w:rsidP="00631002">
      <w:pPr>
        <w:pStyle w:val="FootnoteText"/>
      </w:pPr>
      <w:r>
        <w:rPr>
          <w:rStyle w:val="FootnoteReference"/>
        </w:rPr>
        <w:footnoteRef/>
      </w:r>
      <w:r>
        <w:t xml:space="preserve"> Available at: </w:t>
      </w:r>
      <w:hyperlink r:id="rId3" w:tgtFrame="_blank" w:history="1">
        <w:r>
          <w:rPr>
            <w:rStyle w:val="Hyperlink"/>
            <w:bdr w:val="none" w:sz="0" w:space="0" w:color="auto" w:frame="1"/>
            <w:shd w:val="clear" w:color="auto" w:fill="FFFFFF"/>
          </w:rPr>
          <w:t>https://www.epa.gov/endangered-species/revised-method-national-level-listed-species-biological-evaluations-conventional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61A4"/>
    <w:multiLevelType w:val="multilevel"/>
    <w:tmpl w:val="C34490E8"/>
    <w:lvl w:ilvl="0">
      <w:start w:val="1"/>
      <w:numFmt w:val="decimal"/>
      <w:pStyle w:val="Heading1"/>
      <w:lvlText w:val="%1"/>
      <w:lvlJc w:val="left"/>
      <w:pPr>
        <w:ind w:left="864" w:hanging="432"/>
      </w:pPr>
    </w:lvl>
    <w:lvl w:ilvl="1">
      <w:start w:val="1"/>
      <w:numFmt w:val="decimal"/>
      <w:pStyle w:val="Heading2"/>
      <w:lvlText w:val="%1.%2"/>
      <w:lvlJc w:val="left"/>
      <w:pPr>
        <w:ind w:left="1008" w:hanging="576"/>
      </w:pPr>
    </w:lvl>
    <w:lvl w:ilvl="2">
      <w:start w:val="1"/>
      <w:numFmt w:val="decimal"/>
      <w:pStyle w:val="Heading3"/>
      <w:lvlText w:val="%1.%2.%3"/>
      <w:lvlJc w:val="left"/>
      <w:pPr>
        <w:ind w:left="1152" w:hanging="720"/>
      </w:pPr>
    </w:lvl>
    <w:lvl w:ilvl="3">
      <w:start w:val="1"/>
      <w:numFmt w:val="decimal"/>
      <w:pStyle w:val="Heading4"/>
      <w:lvlText w:val="%1.%2.%3.%4"/>
      <w:lvlJc w:val="left"/>
      <w:pPr>
        <w:ind w:left="1296" w:hanging="864"/>
      </w:pPr>
    </w:lvl>
    <w:lvl w:ilvl="4">
      <w:start w:val="1"/>
      <w:numFmt w:val="decimal"/>
      <w:pStyle w:val="Heading5"/>
      <w:lvlText w:val="%1.%2.%3.%4.%5"/>
      <w:lvlJc w:val="left"/>
      <w:pPr>
        <w:ind w:left="1440" w:hanging="1008"/>
      </w:pPr>
    </w:lvl>
    <w:lvl w:ilvl="5">
      <w:start w:val="1"/>
      <w:numFmt w:val="decimal"/>
      <w:pStyle w:val="Heading6"/>
      <w:lvlText w:val="%1.%2.%3.%4.%5.%6"/>
      <w:lvlJc w:val="left"/>
      <w:pPr>
        <w:ind w:left="1584" w:hanging="1152"/>
      </w:pPr>
    </w:lvl>
    <w:lvl w:ilvl="6">
      <w:start w:val="1"/>
      <w:numFmt w:val="decimal"/>
      <w:pStyle w:val="Heading7"/>
      <w:lvlText w:val="%1.%2.%3.%4.%5.%6.%7"/>
      <w:lvlJc w:val="left"/>
      <w:pPr>
        <w:ind w:left="1728" w:hanging="1296"/>
      </w:pPr>
    </w:lvl>
    <w:lvl w:ilvl="7">
      <w:start w:val="1"/>
      <w:numFmt w:val="decimal"/>
      <w:pStyle w:val="Heading8"/>
      <w:lvlText w:val="%1.%2.%3.%4.%5.%6.%7.%8"/>
      <w:lvlJc w:val="left"/>
      <w:pPr>
        <w:ind w:left="1872" w:hanging="1440"/>
      </w:pPr>
    </w:lvl>
    <w:lvl w:ilvl="8">
      <w:start w:val="1"/>
      <w:numFmt w:val="decimal"/>
      <w:pStyle w:val="Heading9"/>
      <w:lvlText w:val="%1.%2.%3.%4.%5.%6.%7.%8.%9"/>
      <w:lvlJc w:val="left"/>
      <w:pPr>
        <w:ind w:left="2016" w:hanging="1584"/>
      </w:pPr>
    </w:lvl>
  </w:abstractNum>
  <w:abstractNum w:abstractNumId="1" w15:restartNumberingAfterBreak="0">
    <w:nsid w:val="46A27B4F"/>
    <w:multiLevelType w:val="hybridMultilevel"/>
    <w:tmpl w:val="CACEE1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4250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proofState w:spelling="clean" w:grammar="clean"/>
  <w:documentProtection w:edit="readOnly" w:enforcement="1" w:cryptProviderType="rsaAES" w:cryptAlgorithmClass="hash" w:cryptAlgorithmType="typeAny" w:cryptAlgorithmSid="14" w:cryptSpinCount="100000" w:hash="zpE59EA4fA5cH0yeeL/pgv6lzq07y1YOimB9S1UYvWaoU3JCbELPiuxAfTfC894tnTqaujQtOmhYxDiTCQBzyA==" w:salt="v97HOe/klEif7n1rneesDg=="/>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FEDStyl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xer2w2o0xwx3e0a0tx0sz3zradttw529er&quot;&gt;Trinaendnote2017&lt;record-ids&gt;&lt;item&gt;4542&lt;/item&gt;&lt;/record-ids&gt;&lt;/item&gt;&lt;/Libraries&gt;"/>
  </w:docVars>
  <w:rsids>
    <w:rsidRoot w:val="00330467"/>
    <w:rsid w:val="00003C6F"/>
    <w:rsid w:val="00006AE3"/>
    <w:rsid w:val="000072CB"/>
    <w:rsid w:val="0001757C"/>
    <w:rsid w:val="0002673C"/>
    <w:rsid w:val="000324E8"/>
    <w:rsid w:val="00033AAD"/>
    <w:rsid w:val="00033DB4"/>
    <w:rsid w:val="000347EF"/>
    <w:rsid w:val="000446F0"/>
    <w:rsid w:val="000500CD"/>
    <w:rsid w:val="00052A71"/>
    <w:rsid w:val="000563AF"/>
    <w:rsid w:val="00065954"/>
    <w:rsid w:val="000677AA"/>
    <w:rsid w:val="000707E4"/>
    <w:rsid w:val="00073594"/>
    <w:rsid w:val="00074FBE"/>
    <w:rsid w:val="000807D9"/>
    <w:rsid w:val="000829C5"/>
    <w:rsid w:val="00083B6C"/>
    <w:rsid w:val="00086AA1"/>
    <w:rsid w:val="00092FF0"/>
    <w:rsid w:val="000A1407"/>
    <w:rsid w:val="000A4725"/>
    <w:rsid w:val="000A575F"/>
    <w:rsid w:val="000B334D"/>
    <w:rsid w:val="000B4CBE"/>
    <w:rsid w:val="000C244B"/>
    <w:rsid w:val="000C2F82"/>
    <w:rsid w:val="000C33BF"/>
    <w:rsid w:val="000C6A3E"/>
    <w:rsid w:val="000D2F44"/>
    <w:rsid w:val="000D4CAA"/>
    <w:rsid w:val="000D7D0E"/>
    <w:rsid w:val="000E309A"/>
    <w:rsid w:val="000E6928"/>
    <w:rsid w:val="000F2DC8"/>
    <w:rsid w:val="000F3AF7"/>
    <w:rsid w:val="000F4327"/>
    <w:rsid w:val="0010233C"/>
    <w:rsid w:val="00111382"/>
    <w:rsid w:val="00122436"/>
    <w:rsid w:val="00122E66"/>
    <w:rsid w:val="001232B3"/>
    <w:rsid w:val="00126F63"/>
    <w:rsid w:val="001311E9"/>
    <w:rsid w:val="0013472B"/>
    <w:rsid w:val="00134B79"/>
    <w:rsid w:val="00136624"/>
    <w:rsid w:val="0014269E"/>
    <w:rsid w:val="00143F04"/>
    <w:rsid w:val="001466FC"/>
    <w:rsid w:val="001521D1"/>
    <w:rsid w:val="00154BDA"/>
    <w:rsid w:val="00160A09"/>
    <w:rsid w:val="00160CD1"/>
    <w:rsid w:val="00171173"/>
    <w:rsid w:val="0017152A"/>
    <w:rsid w:val="00171E4D"/>
    <w:rsid w:val="001726C9"/>
    <w:rsid w:val="00174FFA"/>
    <w:rsid w:val="00186168"/>
    <w:rsid w:val="00190605"/>
    <w:rsid w:val="001926CA"/>
    <w:rsid w:val="00192708"/>
    <w:rsid w:val="001A3C45"/>
    <w:rsid w:val="001A40B9"/>
    <w:rsid w:val="001A4F5C"/>
    <w:rsid w:val="001B30FB"/>
    <w:rsid w:val="001B4ABD"/>
    <w:rsid w:val="001C057A"/>
    <w:rsid w:val="001C2986"/>
    <w:rsid w:val="001C3796"/>
    <w:rsid w:val="001C4866"/>
    <w:rsid w:val="001C6B2E"/>
    <w:rsid w:val="001C75EE"/>
    <w:rsid w:val="001D4536"/>
    <w:rsid w:val="001D4EB7"/>
    <w:rsid w:val="001D504C"/>
    <w:rsid w:val="001E5734"/>
    <w:rsid w:val="001F3217"/>
    <w:rsid w:val="001F396E"/>
    <w:rsid w:val="00203368"/>
    <w:rsid w:val="00204662"/>
    <w:rsid w:val="00204D47"/>
    <w:rsid w:val="00206309"/>
    <w:rsid w:val="0020724D"/>
    <w:rsid w:val="00210CB1"/>
    <w:rsid w:val="002144C9"/>
    <w:rsid w:val="00217285"/>
    <w:rsid w:val="00217C00"/>
    <w:rsid w:val="0022083A"/>
    <w:rsid w:val="00225062"/>
    <w:rsid w:val="00226FE7"/>
    <w:rsid w:val="00242799"/>
    <w:rsid w:val="0025055B"/>
    <w:rsid w:val="00251B86"/>
    <w:rsid w:val="00253286"/>
    <w:rsid w:val="002636EB"/>
    <w:rsid w:val="0026396F"/>
    <w:rsid w:val="0026517A"/>
    <w:rsid w:val="00266071"/>
    <w:rsid w:val="00267E9F"/>
    <w:rsid w:val="002716A0"/>
    <w:rsid w:val="00274175"/>
    <w:rsid w:val="002825F5"/>
    <w:rsid w:val="00291476"/>
    <w:rsid w:val="002A59CB"/>
    <w:rsid w:val="002B275B"/>
    <w:rsid w:val="002B49A3"/>
    <w:rsid w:val="002B59D7"/>
    <w:rsid w:val="002C2ECC"/>
    <w:rsid w:val="002C401D"/>
    <w:rsid w:val="002C4CFD"/>
    <w:rsid w:val="002C5413"/>
    <w:rsid w:val="002D139E"/>
    <w:rsid w:val="002D2A52"/>
    <w:rsid w:val="002E01CF"/>
    <w:rsid w:val="002F0C39"/>
    <w:rsid w:val="002F0ED3"/>
    <w:rsid w:val="002F4C76"/>
    <w:rsid w:val="002F6F7A"/>
    <w:rsid w:val="00303446"/>
    <w:rsid w:val="00303775"/>
    <w:rsid w:val="00303C39"/>
    <w:rsid w:val="00310D68"/>
    <w:rsid w:val="00310F57"/>
    <w:rsid w:val="00312480"/>
    <w:rsid w:val="00312DD7"/>
    <w:rsid w:val="003177C9"/>
    <w:rsid w:val="00323F48"/>
    <w:rsid w:val="0033021F"/>
    <w:rsid w:val="00330467"/>
    <w:rsid w:val="00330580"/>
    <w:rsid w:val="00331B2C"/>
    <w:rsid w:val="003415BC"/>
    <w:rsid w:val="0035065E"/>
    <w:rsid w:val="0035147F"/>
    <w:rsid w:val="00351C75"/>
    <w:rsid w:val="00353477"/>
    <w:rsid w:val="00354E8A"/>
    <w:rsid w:val="00374D1B"/>
    <w:rsid w:val="003819F0"/>
    <w:rsid w:val="003873C0"/>
    <w:rsid w:val="00391D18"/>
    <w:rsid w:val="00393A4D"/>
    <w:rsid w:val="003A6483"/>
    <w:rsid w:val="003B252C"/>
    <w:rsid w:val="003B2CCB"/>
    <w:rsid w:val="003B4B31"/>
    <w:rsid w:val="003B4B69"/>
    <w:rsid w:val="003B5F9B"/>
    <w:rsid w:val="003B6C80"/>
    <w:rsid w:val="003B6FF6"/>
    <w:rsid w:val="003C3423"/>
    <w:rsid w:val="003C6E81"/>
    <w:rsid w:val="003D3716"/>
    <w:rsid w:val="003D63A9"/>
    <w:rsid w:val="003D74AE"/>
    <w:rsid w:val="003F0BF1"/>
    <w:rsid w:val="003F3F19"/>
    <w:rsid w:val="003F5EC7"/>
    <w:rsid w:val="003F60A7"/>
    <w:rsid w:val="003F770C"/>
    <w:rsid w:val="00415354"/>
    <w:rsid w:val="00416CC9"/>
    <w:rsid w:val="00421756"/>
    <w:rsid w:val="00424A3F"/>
    <w:rsid w:val="00433D9E"/>
    <w:rsid w:val="004344EE"/>
    <w:rsid w:val="004406D6"/>
    <w:rsid w:val="00441872"/>
    <w:rsid w:val="00442D91"/>
    <w:rsid w:val="0044391F"/>
    <w:rsid w:val="0045224D"/>
    <w:rsid w:val="00457E1B"/>
    <w:rsid w:val="00465462"/>
    <w:rsid w:val="004669A2"/>
    <w:rsid w:val="00467636"/>
    <w:rsid w:val="00467DA9"/>
    <w:rsid w:val="00467F27"/>
    <w:rsid w:val="00474A82"/>
    <w:rsid w:val="00474F88"/>
    <w:rsid w:val="00477FD7"/>
    <w:rsid w:val="00483026"/>
    <w:rsid w:val="004861E1"/>
    <w:rsid w:val="00486AA8"/>
    <w:rsid w:val="00487A73"/>
    <w:rsid w:val="0049276C"/>
    <w:rsid w:val="004A40CE"/>
    <w:rsid w:val="004B4A43"/>
    <w:rsid w:val="004B6CC4"/>
    <w:rsid w:val="004B7AC3"/>
    <w:rsid w:val="004C5C58"/>
    <w:rsid w:val="004C66F1"/>
    <w:rsid w:val="004D0F93"/>
    <w:rsid w:val="004D1BDC"/>
    <w:rsid w:val="004E2E0F"/>
    <w:rsid w:val="004E3D6B"/>
    <w:rsid w:val="004F3CBE"/>
    <w:rsid w:val="004F7FAF"/>
    <w:rsid w:val="00504FC6"/>
    <w:rsid w:val="00507E9A"/>
    <w:rsid w:val="005235EC"/>
    <w:rsid w:val="00525490"/>
    <w:rsid w:val="005267CA"/>
    <w:rsid w:val="00542D42"/>
    <w:rsid w:val="00545971"/>
    <w:rsid w:val="00546A2E"/>
    <w:rsid w:val="00546DD1"/>
    <w:rsid w:val="00550153"/>
    <w:rsid w:val="00555EFB"/>
    <w:rsid w:val="005632D1"/>
    <w:rsid w:val="005721BD"/>
    <w:rsid w:val="005760B5"/>
    <w:rsid w:val="005807A5"/>
    <w:rsid w:val="00580A2F"/>
    <w:rsid w:val="005949FD"/>
    <w:rsid w:val="00596AC4"/>
    <w:rsid w:val="005A2C5D"/>
    <w:rsid w:val="005A7CEB"/>
    <w:rsid w:val="005A7E2E"/>
    <w:rsid w:val="005B5236"/>
    <w:rsid w:val="005B73D0"/>
    <w:rsid w:val="005C180C"/>
    <w:rsid w:val="005C4C21"/>
    <w:rsid w:val="005C5690"/>
    <w:rsid w:val="005D04D6"/>
    <w:rsid w:val="005D1BFA"/>
    <w:rsid w:val="005D69A2"/>
    <w:rsid w:val="005E521C"/>
    <w:rsid w:val="005E53CB"/>
    <w:rsid w:val="006008C7"/>
    <w:rsid w:val="00607C24"/>
    <w:rsid w:val="0061209B"/>
    <w:rsid w:val="006123E4"/>
    <w:rsid w:val="00613A27"/>
    <w:rsid w:val="00614514"/>
    <w:rsid w:val="0061478A"/>
    <w:rsid w:val="006153F1"/>
    <w:rsid w:val="00615B53"/>
    <w:rsid w:val="00623D7B"/>
    <w:rsid w:val="00624D1B"/>
    <w:rsid w:val="00630493"/>
    <w:rsid w:val="00631002"/>
    <w:rsid w:val="00634B4C"/>
    <w:rsid w:val="00640E13"/>
    <w:rsid w:val="00641ABE"/>
    <w:rsid w:val="00645EC3"/>
    <w:rsid w:val="00655057"/>
    <w:rsid w:val="006722F0"/>
    <w:rsid w:val="00672413"/>
    <w:rsid w:val="00673C2B"/>
    <w:rsid w:val="00674268"/>
    <w:rsid w:val="00675167"/>
    <w:rsid w:val="006837D9"/>
    <w:rsid w:val="00690822"/>
    <w:rsid w:val="006A02F6"/>
    <w:rsid w:val="006A2247"/>
    <w:rsid w:val="006A445C"/>
    <w:rsid w:val="006B2641"/>
    <w:rsid w:val="006B26A2"/>
    <w:rsid w:val="006B5C3A"/>
    <w:rsid w:val="006B7254"/>
    <w:rsid w:val="006D0523"/>
    <w:rsid w:val="006D75E4"/>
    <w:rsid w:val="006E289F"/>
    <w:rsid w:val="006F28F5"/>
    <w:rsid w:val="006F4EA6"/>
    <w:rsid w:val="006F62E6"/>
    <w:rsid w:val="00714D28"/>
    <w:rsid w:val="007166BF"/>
    <w:rsid w:val="0071784E"/>
    <w:rsid w:val="007179AF"/>
    <w:rsid w:val="00717C3E"/>
    <w:rsid w:val="00720C1B"/>
    <w:rsid w:val="00722DCA"/>
    <w:rsid w:val="007256EF"/>
    <w:rsid w:val="00733A4C"/>
    <w:rsid w:val="007400FE"/>
    <w:rsid w:val="00743F08"/>
    <w:rsid w:val="007505C3"/>
    <w:rsid w:val="00761978"/>
    <w:rsid w:val="007655CF"/>
    <w:rsid w:val="007667F0"/>
    <w:rsid w:val="0077570A"/>
    <w:rsid w:val="00775F47"/>
    <w:rsid w:val="00783261"/>
    <w:rsid w:val="00783B1B"/>
    <w:rsid w:val="00784B2B"/>
    <w:rsid w:val="00785131"/>
    <w:rsid w:val="00791137"/>
    <w:rsid w:val="007917C1"/>
    <w:rsid w:val="007A47BE"/>
    <w:rsid w:val="007A6A83"/>
    <w:rsid w:val="007B09BC"/>
    <w:rsid w:val="007B79A6"/>
    <w:rsid w:val="007B7CA3"/>
    <w:rsid w:val="007C0A56"/>
    <w:rsid w:val="007C0A6E"/>
    <w:rsid w:val="007C274A"/>
    <w:rsid w:val="007D6193"/>
    <w:rsid w:val="007E5095"/>
    <w:rsid w:val="007E6AE0"/>
    <w:rsid w:val="007E7809"/>
    <w:rsid w:val="007F332A"/>
    <w:rsid w:val="00802603"/>
    <w:rsid w:val="00804152"/>
    <w:rsid w:val="00814563"/>
    <w:rsid w:val="008204F8"/>
    <w:rsid w:val="00822B4E"/>
    <w:rsid w:val="0082687E"/>
    <w:rsid w:val="008322C6"/>
    <w:rsid w:val="00836465"/>
    <w:rsid w:val="008409A0"/>
    <w:rsid w:val="00861834"/>
    <w:rsid w:val="00867F6F"/>
    <w:rsid w:val="008722AF"/>
    <w:rsid w:val="00872545"/>
    <w:rsid w:val="00873483"/>
    <w:rsid w:val="00875818"/>
    <w:rsid w:val="00877954"/>
    <w:rsid w:val="00886C2F"/>
    <w:rsid w:val="00890ADD"/>
    <w:rsid w:val="00893971"/>
    <w:rsid w:val="00893E03"/>
    <w:rsid w:val="008A4BA2"/>
    <w:rsid w:val="008C01AA"/>
    <w:rsid w:val="008C5566"/>
    <w:rsid w:val="008D1C96"/>
    <w:rsid w:val="008D449E"/>
    <w:rsid w:val="008E3FA9"/>
    <w:rsid w:val="008F32E8"/>
    <w:rsid w:val="008F3EFA"/>
    <w:rsid w:val="008F4386"/>
    <w:rsid w:val="008F51AB"/>
    <w:rsid w:val="008F522B"/>
    <w:rsid w:val="0090266C"/>
    <w:rsid w:val="00916F11"/>
    <w:rsid w:val="009174AE"/>
    <w:rsid w:val="009231AB"/>
    <w:rsid w:val="00923AD3"/>
    <w:rsid w:val="00925B29"/>
    <w:rsid w:val="009269B6"/>
    <w:rsid w:val="00930D5F"/>
    <w:rsid w:val="009325C0"/>
    <w:rsid w:val="00932D15"/>
    <w:rsid w:val="009341F6"/>
    <w:rsid w:val="00937150"/>
    <w:rsid w:val="00943861"/>
    <w:rsid w:val="00952CEF"/>
    <w:rsid w:val="009630C0"/>
    <w:rsid w:val="00966889"/>
    <w:rsid w:val="00971428"/>
    <w:rsid w:val="00972637"/>
    <w:rsid w:val="009752ED"/>
    <w:rsid w:val="00982D77"/>
    <w:rsid w:val="0098319A"/>
    <w:rsid w:val="00994F37"/>
    <w:rsid w:val="0099729A"/>
    <w:rsid w:val="009A5892"/>
    <w:rsid w:val="009C04B2"/>
    <w:rsid w:val="009C68AE"/>
    <w:rsid w:val="009D72A8"/>
    <w:rsid w:val="00A00EE6"/>
    <w:rsid w:val="00A02B04"/>
    <w:rsid w:val="00A048A0"/>
    <w:rsid w:val="00A05EF2"/>
    <w:rsid w:val="00A06212"/>
    <w:rsid w:val="00A217A1"/>
    <w:rsid w:val="00A250EC"/>
    <w:rsid w:val="00A2710C"/>
    <w:rsid w:val="00A27315"/>
    <w:rsid w:val="00A309AC"/>
    <w:rsid w:val="00A34D82"/>
    <w:rsid w:val="00A4112C"/>
    <w:rsid w:val="00A47034"/>
    <w:rsid w:val="00A47677"/>
    <w:rsid w:val="00A52C4E"/>
    <w:rsid w:val="00A63BEF"/>
    <w:rsid w:val="00A64A60"/>
    <w:rsid w:val="00A64CC1"/>
    <w:rsid w:val="00A70773"/>
    <w:rsid w:val="00A752E5"/>
    <w:rsid w:val="00A80427"/>
    <w:rsid w:val="00A84162"/>
    <w:rsid w:val="00A918B9"/>
    <w:rsid w:val="00A953F6"/>
    <w:rsid w:val="00A95B31"/>
    <w:rsid w:val="00AA06FB"/>
    <w:rsid w:val="00AB5B88"/>
    <w:rsid w:val="00AB7C89"/>
    <w:rsid w:val="00AC59BB"/>
    <w:rsid w:val="00AD4289"/>
    <w:rsid w:val="00AD4BC2"/>
    <w:rsid w:val="00AD5886"/>
    <w:rsid w:val="00AE15F1"/>
    <w:rsid w:val="00AE52D0"/>
    <w:rsid w:val="00AF16F8"/>
    <w:rsid w:val="00AF4B48"/>
    <w:rsid w:val="00AF4EE9"/>
    <w:rsid w:val="00B001CB"/>
    <w:rsid w:val="00B00553"/>
    <w:rsid w:val="00B01EBB"/>
    <w:rsid w:val="00B04AA7"/>
    <w:rsid w:val="00B14677"/>
    <w:rsid w:val="00B14E21"/>
    <w:rsid w:val="00B1575D"/>
    <w:rsid w:val="00B32975"/>
    <w:rsid w:val="00B32F80"/>
    <w:rsid w:val="00B36A79"/>
    <w:rsid w:val="00B408AC"/>
    <w:rsid w:val="00B41EAE"/>
    <w:rsid w:val="00B732A0"/>
    <w:rsid w:val="00B77EA4"/>
    <w:rsid w:val="00B85C2A"/>
    <w:rsid w:val="00B91F3F"/>
    <w:rsid w:val="00B932FF"/>
    <w:rsid w:val="00B9671F"/>
    <w:rsid w:val="00BA5F89"/>
    <w:rsid w:val="00BB0C2D"/>
    <w:rsid w:val="00BB4937"/>
    <w:rsid w:val="00BB5F7C"/>
    <w:rsid w:val="00BC1486"/>
    <w:rsid w:val="00BC7AF6"/>
    <w:rsid w:val="00BD322D"/>
    <w:rsid w:val="00BD5C3E"/>
    <w:rsid w:val="00BD61C4"/>
    <w:rsid w:val="00BE2F82"/>
    <w:rsid w:val="00BE70F9"/>
    <w:rsid w:val="00BE7466"/>
    <w:rsid w:val="00BF577E"/>
    <w:rsid w:val="00C01C9E"/>
    <w:rsid w:val="00C01E44"/>
    <w:rsid w:val="00C056AC"/>
    <w:rsid w:val="00C06BE5"/>
    <w:rsid w:val="00C1079F"/>
    <w:rsid w:val="00C13650"/>
    <w:rsid w:val="00C17A63"/>
    <w:rsid w:val="00C20F1A"/>
    <w:rsid w:val="00C21087"/>
    <w:rsid w:val="00C22250"/>
    <w:rsid w:val="00C227C7"/>
    <w:rsid w:val="00C3016B"/>
    <w:rsid w:val="00C33B53"/>
    <w:rsid w:val="00C340DE"/>
    <w:rsid w:val="00C40778"/>
    <w:rsid w:val="00C41195"/>
    <w:rsid w:val="00C41D89"/>
    <w:rsid w:val="00C57F9E"/>
    <w:rsid w:val="00C633D9"/>
    <w:rsid w:val="00C700FB"/>
    <w:rsid w:val="00C72EBE"/>
    <w:rsid w:val="00C74F6B"/>
    <w:rsid w:val="00C7543E"/>
    <w:rsid w:val="00C7566C"/>
    <w:rsid w:val="00C76A8B"/>
    <w:rsid w:val="00C8016A"/>
    <w:rsid w:val="00C8066C"/>
    <w:rsid w:val="00C823F4"/>
    <w:rsid w:val="00C85ED0"/>
    <w:rsid w:val="00C932E3"/>
    <w:rsid w:val="00C9564C"/>
    <w:rsid w:val="00CA023E"/>
    <w:rsid w:val="00CA4CDB"/>
    <w:rsid w:val="00CB23DA"/>
    <w:rsid w:val="00CC2634"/>
    <w:rsid w:val="00CC3277"/>
    <w:rsid w:val="00CC3B65"/>
    <w:rsid w:val="00CC664F"/>
    <w:rsid w:val="00CD3692"/>
    <w:rsid w:val="00CE0987"/>
    <w:rsid w:val="00CE1C66"/>
    <w:rsid w:val="00CE3D42"/>
    <w:rsid w:val="00CF1313"/>
    <w:rsid w:val="00CF21A2"/>
    <w:rsid w:val="00CF3F0F"/>
    <w:rsid w:val="00D021E3"/>
    <w:rsid w:val="00D026F3"/>
    <w:rsid w:val="00D10797"/>
    <w:rsid w:val="00D1256E"/>
    <w:rsid w:val="00D12DB0"/>
    <w:rsid w:val="00D15940"/>
    <w:rsid w:val="00D23232"/>
    <w:rsid w:val="00D303B3"/>
    <w:rsid w:val="00D36912"/>
    <w:rsid w:val="00D40751"/>
    <w:rsid w:val="00D467CD"/>
    <w:rsid w:val="00D6321B"/>
    <w:rsid w:val="00D64F94"/>
    <w:rsid w:val="00D70B7B"/>
    <w:rsid w:val="00D72DE9"/>
    <w:rsid w:val="00D768C5"/>
    <w:rsid w:val="00D8211E"/>
    <w:rsid w:val="00D827DC"/>
    <w:rsid w:val="00D853B2"/>
    <w:rsid w:val="00D8647A"/>
    <w:rsid w:val="00D93717"/>
    <w:rsid w:val="00DA6892"/>
    <w:rsid w:val="00DB0394"/>
    <w:rsid w:val="00DB5E5D"/>
    <w:rsid w:val="00DC04D5"/>
    <w:rsid w:val="00DD01A0"/>
    <w:rsid w:val="00DD4803"/>
    <w:rsid w:val="00DE73D0"/>
    <w:rsid w:val="00DF03C3"/>
    <w:rsid w:val="00DF273A"/>
    <w:rsid w:val="00E0039A"/>
    <w:rsid w:val="00E04F03"/>
    <w:rsid w:val="00E06F80"/>
    <w:rsid w:val="00E16B87"/>
    <w:rsid w:val="00E35815"/>
    <w:rsid w:val="00E53606"/>
    <w:rsid w:val="00E61DA7"/>
    <w:rsid w:val="00E64C9B"/>
    <w:rsid w:val="00E8546B"/>
    <w:rsid w:val="00E91586"/>
    <w:rsid w:val="00E94DD1"/>
    <w:rsid w:val="00EA463C"/>
    <w:rsid w:val="00EA65DD"/>
    <w:rsid w:val="00EB2B80"/>
    <w:rsid w:val="00EB33B0"/>
    <w:rsid w:val="00EB37E2"/>
    <w:rsid w:val="00EB4EC3"/>
    <w:rsid w:val="00ED0D37"/>
    <w:rsid w:val="00ED345A"/>
    <w:rsid w:val="00ED45B2"/>
    <w:rsid w:val="00ED538A"/>
    <w:rsid w:val="00ED79AF"/>
    <w:rsid w:val="00F02672"/>
    <w:rsid w:val="00F03042"/>
    <w:rsid w:val="00F06B22"/>
    <w:rsid w:val="00F147F0"/>
    <w:rsid w:val="00F41F3A"/>
    <w:rsid w:val="00F42297"/>
    <w:rsid w:val="00F45B82"/>
    <w:rsid w:val="00F47B1B"/>
    <w:rsid w:val="00F50985"/>
    <w:rsid w:val="00F53333"/>
    <w:rsid w:val="00F60E0D"/>
    <w:rsid w:val="00F67DCD"/>
    <w:rsid w:val="00F73E56"/>
    <w:rsid w:val="00F83E96"/>
    <w:rsid w:val="00F84F72"/>
    <w:rsid w:val="00F928BA"/>
    <w:rsid w:val="00F97AFB"/>
    <w:rsid w:val="00FA3E72"/>
    <w:rsid w:val="00FA58A7"/>
    <w:rsid w:val="00FA7985"/>
    <w:rsid w:val="00FB02F3"/>
    <w:rsid w:val="00FC5424"/>
    <w:rsid w:val="00FC7AB0"/>
    <w:rsid w:val="00FD62B2"/>
    <w:rsid w:val="00FD644E"/>
    <w:rsid w:val="00FD7C74"/>
    <w:rsid w:val="00FE10F3"/>
    <w:rsid w:val="00FE2D84"/>
    <w:rsid w:val="00FF367E"/>
    <w:rsid w:val="00FF56A7"/>
    <w:rsid w:val="0391A3D4"/>
    <w:rsid w:val="17A2AA07"/>
    <w:rsid w:val="4CC1B399"/>
    <w:rsid w:val="506F5C01"/>
    <w:rsid w:val="575D139D"/>
    <w:rsid w:val="677E09C3"/>
    <w:rsid w:val="7A0D504A"/>
    <w:rsid w:val="7A71E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F75038"/>
  <w15:docId w15:val="{EF1229DC-E90C-4AEE-99BC-ECADD11A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266C"/>
    <w:pPr>
      <w:keepNext/>
      <w:keepLines/>
      <w:numPr>
        <w:numId w:val="3"/>
      </w:numPr>
      <w:ind w:left="450" w:hanging="450"/>
      <w:outlineLvl w:val="0"/>
    </w:pPr>
    <w:rPr>
      <w:rFonts w:eastAsiaTheme="majorEastAsia" w:cstheme="minorHAnsi"/>
      <w:color w:val="2E74B5" w:themeColor="accent1" w:themeShade="BF"/>
      <w:sz w:val="24"/>
      <w:szCs w:val="24"/>
    </w:rPr>
  </w:style>
  <w:style w:type="paragraph" w:styleId="Heading2">
    <w:name w:val="heading 2"/>
    <w:basedOn w:val="Normal"/>
    <w:next w:val="Normal"/>
    <w:link w:val="Heading2Char"/>
    <w:uiPriority w:val="9"/>
    <w:unhideWhenUsed/>
    <w:qFormat/>
    <w:rsid w:val="008D1C96"/>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06F80"/>
    <w:pPr>
      <w:keepNext/>
      <w:keepLines/>
      <w:numPr>
        <w:ilvl w:val="2"/>
        <w:numId w:val="3"/>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06F80"/>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06F80"/>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06F80"/>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06F80"/>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06F8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6F8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30467"/>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rsid w:val="00330467"/>
    <w:rPr>
      <w:rFonts w:ascii="Calibri" w:eastAsia="Calibri" w:hAnsi="Calibri" w:cs="Calibri"/>
      <w:color w:val="000000"/>
      <w:sz w:val="20"/>
      <w:szCs w:val="20"/>
    </w:rPr>
  </w:style>
  <w:style w:type="character" w:styleId="FootnoteReference">
    <w:name w:val="footnote reference"/>
    <w:basedOn w:val="DefaultParagraphFont"/>
    <w:unhideWhenUsed/>
    <w:rsid w:val="00330467"/>
    <w:rPr>
      <w:vertAlign w:val="superscript"/>
    </w:rPr>
  </w:style>
  <w:style w:type="character" w:styleId="Hyperlink">
    <w:name w:val="Hyperlink"/>
    <w:basedOn w:val="DefaultParagraphFont"/>
    <w:uiPriority w:val="99"/>
    <w:unhideWhenUsed/>
    <w:rsid w:val="00126F63"/>
    <w:rPr>
      <w:color w:val="0563C1" w:themeColor="hyperlink"/>
      <w:u w:val="single"/>
    </w:rPr>
  </w:style>
  <w:style w:type="table" w:styleId="TableGrid">
    <w:name w:val="Table Grid"/>
    <w:basedOn w:val="TableNormal"/>
    <w:uiPriority w:val="39"/>
    <w:rsid w:val="00102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236"/>
    <w:rPr>
      <w:rFonts w:ascii="Segoe UI" w:hAnsi="Segoe UI" w:cs="Segoe UI"/>
      <w:sz w:val="18"/>
      <w:szCs w:val="18"/>
    </w:rPr>
  </w:style>
  <w:style w:type="character" w:styleId="CommentReference">
    <w:name w:val="annotation reference"/>
    <w:basedOn w:val="DefaultParagraphFont"/>
    <w:uiPriority w:val="99"/>
    <w:semiHidden/>
    <w:unhideWhenUsed/>
    <w:rsid w:val="005B5236"/>
    <w:rPr>
      <w:sz w:val="16"/>
      <w:szCs w:val="16"/>
    </w:rPr>
  </w:style>
  <w:style w:type="paragraph" w:styleId="CommentText">
    <w:name w:val="annotation text"/>
    <w:basedOn w:val="Normal"/>
    <w:link w:val="CommentTextChar"/>
    <w:uiPriority w:val="99"/>
    <w:unhideWhenUsed/>
    <w:rsid w:val="005B5236"/>
    <w:rPr>
      <w:sz w:val="20"/>
      <w:szCs w:val="20"/>
    </w:rPr>
  </w:style>
  <w:style w:type="character" w:customStyle="1" w:styleId="CommentTextChar">
    <w:name w:val="Comment Text Char"/>
    <w:basedOn w:val="DefaultParagraphFont"/>
    <w:link w:val="CommentText"/>
    <w:uiPriority w:val="99"/>
    <w:rsid w:val="005B5236"/>
    <w:rPr>
      <w:sz w:val="20"/>
      <w:szCs w:val="20"/>
    </w:rPr>
  </w:style>
  <w:style w:type="paragraph" w:styleId="CommentSubject">
    <w:name w:val="annotation subject"/>
    <w:basedOn w:val="CommentText"/>
    <w:next w:val="CommentText"/>
    <w:link w:val="CommentSubjectChar"/>
    <w:uiPriority w:val="99"/>
    <w:semiHidden/>
    <w:unhideWhenUsed/>
    <w:rsid w:val="005B5236"/>
    <w:rPr>
      <w:b/>
      <w:bCs/>
    </w:rPr>
  </w:style>
  <w:style w:type="character" w:customStyle="1" w:styleId="CommentSubjectChar">
    <w:name w:val="Comment Subject Char"/>
    <w:basedOn w:val="CommentTextChar"/>
    <w:link w:val="CommentSubject"/>
    <w:uiPriority w:val="99"/>
    <w:semiHidden/>
    <w:rsid w:val="005B5236"/>
    <w:rPr>
      <w:b/>
      <w:bCs/>
      <w:sz w:val="20"/>
      <w:szCs w:val="20"/>
    </w:rPr>
  </w:style>
  <w:style w:type="paragraph" w:styleId="ListParagraph">
    <w:name w:val="List Paragraph"/>
    <w:basedOn w:val="Normal"/>
    <w:uiPriority w:val="34"/>
    <w:qFormat/>
    <w:rsid w:val="003B6FF6"/>
    <w:pPr>
      <w:spacing w:after="160" w:line="259" w:lineRule="auto"/>
      <w:ind w:left="720"/>
      <w:contextualSpacing/>
    </w:pPr>
  </w:style>
  <w:style w:type="paragraph" w:styleId="Header">
    <w:name w:val="header"/>
    <w:basedOn w:val="Normal"/>
    <w:link w:val="HeaderChar"/>
    <w:uiPriority w:val="99"/>
    <w:unhideWhenUsed/>
    <w:rsid w:val="003B6FF6"/>
    <w:pPr>
      <w:tabs>
        <w:tab w:val="center" w:pos="4680"/>
        <w:tab w:val="right" w:pos="9360"/>
      </w:tabs>
    </w:pPr>
  </w:style>
  <w:style w:type="character" w:customStyle="1" w:styleId="HeaderChar">
    <w:name w:val="Header Char"/>
    <w:basedOn w:val="DefaultParagraphFont"/>
    <w:link w:val="Header"/>
    <w:uiPriority w:val="99"/>
    <w:rsid w:val="003B6FF6"/>
  </w:style>
  <w:style w:type="paragraph" w:styleId="Footer">
    <w:name w:val="footer"/>
    <w:basedOn w:val="Normal"/>
    <w:link w:val="FooterChar"/>
    <w:uiPriority w:val="99"/>
    <w:unhideWhenUsed/>
    <w:rsid w:val="003B6FF6"/>
    <w:pPr>
      <w:tabs>
        <w:tab w:val="center" w:pos="4680"/>
        <w:tab w:val="right" w:pos="9360"/>
      </w:tabs>
    </w:pPr>
  </w:style>
  <w:style w:type="character" w:customStyle="1" w:styleId="FooterChar">
    <w:name w:val="Footer Char"/>
    <w:basedOn w:val="DefaultParagraphFont"/>
    <w:link w:val="Footer"/>
    <w:uiPriority w:val="99"/>
    <w:rsid w:val="003B6FF6"/>
  </w:style>
  <w:style w:type="character" w:customStyle="1" w:styleId="Heading2Char">
    <w:name w:val="Heading 2 Char"/>
    <w:basedOn w:val="DefaultParagraphFont"/>
    <w:link w:val="Heading2"/>
    <w:uiPriority w:val="9"/>
    <w:rsid w:val="008D1C96"/>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4F3CBE"/>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F3CBE"/>
    <w:rPr>
      <w:rFonts w:ascii="Calibri" w:hAnsi="Calibri" w:cs="Calibri"/>
      <w:noProof/>
    </w:rPr>
  </w:style>
  <w:style w:type="paragraph" w:customStyle="1" w:styleId="EndNoteBibliography">
    <w:name w:val="EndNote Bibliography"/>
    <w:basedOn w:val="Normal"/>
    <w:link w:val="EndNoteBibliographyChar"/>
    <w:rsid w:val="004F3CBE"/>
    <w:rPr>
      <w:rFonts w:ascii="Calibri" w:hAnsi="Calibri" w:cs="Calibri"/>
      <w:noProof/>
    </w:rPr>
  </w:style>
  <w:style w:type="character" w:customStyle="1" w:styleId="EndNoteBibliographyChar">
    <w:name w:val="EndNote Bibliography Char"/>
    <w:basedOn w:val="DefaultParagraphFont"/>
    <w:link w:val="EndNoteBibliography"/>
    <w:rsid w:val="004F3CBE"/>
    <w:rPr>
      <w:rFonts w:ascii="Calibri" w:hAnsi="Calibri" w:cs="Calibri"/>
      <w:noProof/>
    </w:rPr>
  </w:style>
  <w:style w:type="character" w:customStyle="1" w:styleId="Heading1Char">
    <w:name w:val="Heading 1 Char"/>
    <w:basedOn w:val="DefaultParagraphFont"/>
    <w:link w:val="Heading1"/>
    <w:uiPriority w:val="9"/>
    <w:rsid w:val="0090266C"/>
    <w:rPr>
      <w:rFonts w:eastAsiaTheme="majorEastAsia" w:cstheme="minorHAnsi"/>
      <w:color w:val="2E74B5" w:themeColor="accent1" w:themeShade="BF"/>
      <w:sz w:val="24"/>
      <w:szCs w:val="24"/>
    </w:rPr>
  </w:style>
  <w:style w:type="character" w:customStyle="1" w:styleId="Heading3Char">
    <w:name w:val="Heading 3 Char"/>
    <w:basedOn w:val="DefaultParagraphFont"/>
    <w:link w:val="Heading3"/>
    <w:uiPriority w:val="9"/>
    <w:semiHidden/>
    <w:rsid w:val="00E06F8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06F8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06F8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06F8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06F8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06F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06F80"/>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F84F72"/>
    <w:rPr>
      <w:color w:val="954F72" w:themeColor="followedHyperlink"/>
      <w:u w:val="single"/>
    </w:rPr>
  </w:style>
  <w:style w:type="character" w:customStyle="1" w:styleId="eop">
    <w:name w:val="eop"/>
    <w:basedOn w:val="DefaultParagraphFont"/>
    <w:rsid w:val="000500CD"/>
  </w:style>
  <w:style w:type="character" w:customStyle="1" w:styleId="normaltextrun">
    <w:name w:val="normaltextrun"/>
    <w:basedOn w:val="DefaultParagraphFont"/>
    <w:rsid w:val="000500CD"/>
  </w:style>
  <w:style w:type="character" w:styleId="UnresolvedMention">
    <w:name w:val="Unresolved Mention"/>
    <w:basedOn w:val="DefaultParagraphFont"/>
    <w:uiPriority w:val="99"/>
    <w:semiHidden/>
    <w:unhideWhenUsed/>
    <w:rsid w:val="00672413"/>
    <w:rPr>
      <w:color w:val="605E5C"/>
      <w:shd w:val="clear" w:color="auto" w:fill="E1DFDD"/>
    </w:rPr>
  </w:style>
  <w:style w:type="paragraph" w:styleId="Revision">
    <w:name w:val="Revision"/>
    <w:hidden/>
    <w:uiPriority w:val="99"/>
    <w:semiHidden/>
    <w:rsid w:val="007B7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65301">
      <w:bodyDiv w:val="1"/>
      <w:marLeft w:val="0"/>
      <w:marRight w:val="0"/>
      <w:marTop w:val="0"/>
      <w:marBottom w:val="0"/>
      <w:divBdr>
        <w:top w:val="none" w:sz="0" w:space="0" w:color="auto"/>
        <w:left w:val="none" w:sz="0" w:space="0" w:color="auto"/>
        <w:bottom w:val="none" w:sz="0" w:space="0" w:color="auto"/>
        <w:right w:val="none" w:sz="0" w:space="0" w:color="auto"/>
      </w:divBdr>
    </w:div>
    <w:div w:id="408121262">
      <w:bodyDiv w:val="1"/>
      <w:marLeft w:val="0"/>
      <w:marRight w:val="0"/>
      <w:marTop w:val="0"/>
      <w:marBottom w:val="0"/>
      <w:divBdr>
        <w:top w:val="none" w:sz="0" w:space="0" w:color="auto"/>
        <w:left w:val="none" w:sz="0" w:space="0" w:color="auto"/>
        <w:bottom w:val="none" w:sz="0" w:space="0" w:color="auto"/>
        <w:right w:val="none" w:sz="0" w:space="0" w:color="auto"/>
      </w:divBdr>
    </w:div>
    <w:div w:id="547567706">
      <w:bodyDiv w:val="1"/>
      <w:marLeft w:val="0"/>
      <w:marRight w:val="0"/>
      <w:marTop w:val="0"/>
      <w:marBottom w:val="0"/>
      <w:divBdr>
        <w:top w:val="none" w:sz="0" w:space="0" w:color="auto"/>
        <w:left w:val="none" w:sz="0" w:space="0" w:color="auto"/>
        <w:bottom w:val="none" w:sz="0" w:space="0" w:color="auto"/>
        <w:right w:val="none" w:sz="0" w:space="0" w:color="auto"/>
      </w:divBdr>
    </w:div>
    <w:div w:id="1218316806">
      <w:bodyDiv w:val="1"/>
      <w:marLeft w:val="0"/>
      <w:marRight w:val="0"/>
      <w:marTop w:val="0"/>
      <w:marBottom w:val="0"/>
      <w:divBdr>
        <w:top w:val="none" w:sz="0" w:space="0" w:color="auto"/>
        <w:left w:val="none" w:sz="0" w:space="0" w:color="auto"/>
        <w:bottom w:val="none" w:sz="0" w:space="0" w:color="auto"/>
        <w:right w:val="none" w:sz="0" w:space="0" w:color="auto"/>
      </w:divBdr>
    </w:div>
    <w:div w:id="1254823528">
      <w:bodyDiv w:val="1"/>
      <w:marLeft w:val="0"/>
      <w:marRight w:val="0"/>
      <w:marTop w:val="0"/>
      <w:marBottom w:val="0"/>
      <w:divBdr>
        <w:top w:val="none" w:sz="0" w:space="0" w:color="auto"/>
        <w:left w:val="none" w:sz="0" w:space="0" w:color="auto"/>
        <w:bottom w:val="none" w:sz="0" w:space="0" w:color="auto"/>
        <w:right w:val="none" w:sz="0" w:space="0" w:color="auto"/>
      </w:divBdr>
    </w:div>
    <w:div w:id="1424186526">
      <w:bodyDiv w:val="1"/>
      <w:marLeft w:val="0"/>
      <w:marRight w:val="0"/>
      <w:marTop w:val="0"/>
      <w:marBottom w:val="0"/>
      <w:divBdr>
        <w:top w:val="none" w:sz="0" w:space="0" w:color="auto"/>
        <w:left w:val="none" w:sz="0" w:space="0" w:color="auto"/>
        <w:bottom w:val="none" w:sz="0" w:space="0" w:color="auto"/>
        <w:right w:val="none" w:sz="0" w:space="0" w:color="auto"/>
      </w:divBdr>
    </w:div>
    <w:div w:id="1475366453">
      <w:bodyDiv w:val="1"/>
      <w:marLeft w:val="0"/>
      <w:marRight w:val="0"/>
      <w:marTop w:val="0"/>
      <w:marBottom w:val="0"/>
      <w:divBdr>
        <w:top w:val="none" w:sz="0" w:space="0" w:color="auto"/>
        <w:left w:val="none" w:sz="0" w:space="0" w:color="auto"/>
        <w:bottom w:val="none" w:sz="0" w:space="0" w:color="auto"/>
        <w:right w:val="none" w:sz="0" w:space="0" w:color="auto"/>
      </w:divBdr>
    </w:div>
    <w:div w:id="1557668914">
      <w:bodyDiv w:val="1"/>
      <w:marLeft w:val="0"/>
      <w:marRight w:val="0"/>
      <w:marTop w:val="0"/>
      <w:marBottom w:val="0"/>
      <w:divBdr>
        <w:top w:val="none" w:sz="0" w:space="0" w:color="auto"/>
        <w:left w:val="none" w:sz="0" w:space="0" w:color="auto"/>
        <w:bottom w:val="none" w:sz="0" w:space="0" w:color="auto"/>
        <w:right w:val="none" w:sz="0" w:space="0" w:color="auto"/>
      </w:divBdr>
    </w:div>
    <w:div w:id="15975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endangered-species/revised-method-national-level-listed-species-biological-evaluations-conventional" TargetMode="External"/><Relationship Id="rId2" Type="http://schemas.openxmlformats.org/officeDocument/2006/relationships/hyperlink" Target="https://www.epa.gov/pesticide-science-and-assessing-pesticide-risks/models-pesticide-risk-assessment" TargetMode="External"/><Relationship Id="rId1" Type="http://schemas.openxmlformats.org/officeDocument/2006/relationships/hyperlink" Target="https://www.epa.gov/endangered-species/revised-method-national-level-listed-species-biological-evaluations-conven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2020-02-14T13:22:28+00:00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Wendel, Christina</DisplayName>
        <AccountId>4298</AccountId>
        <AccountType/>
      </UserInfo>
      <UserInfo>
        <DisplayName>White, Katrina</DisplayName>
        <AccountId>838</AccountId>
        <AccountType/>
      </UserInfo>
      <UserInfo>
        <DisplayName>Anderson, Brian</DisplayName>
        <AccountId>650</AccountId>
        <AccountType/>
      </UserInfo>
      <UserInfo>
        <DisplayName>Blankinship, Amy</DisplayName>
        <AccountId>1004</AccountId>
        <AccountType/>
      </UserInfo>
      <UserInfo>
        <DisplayName>Johnson, Tamara</DisplayName>
        <AccountId>8027</AccountId>
        <AccountType/>
      </UserInfo>
      <UserInfo>
        <DisplayName>Fowler, Jerrett</DisplayName>
        <AccountId>6397</AccountId>
        <AccountType/>
      </UserInfo>
      <UserInfo>
        <DisplayName>Harwood, Douglas (Ethan)</DisplayName>
        <AccountId>6097</AccountId>
        <AccountType/>
      </UserInfo>
      <UserInfo>
        <DisplayName>Echeverria, Marietta</DisplayName>
        <AccountId>250</AccountId>
        <AccountType/>
      </UserInfo>
      <UserInfo>
        <DisplayName>Donovan, Elizabeth</DisplayName>
        <AccountId>580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9C36F-FB7D-45C3-B76F-A96993AF2E94}">
  <ds:schemaRefs>
    <ds:schemaRef ds:uri="http://schemas.microsoft.com/sharepoint/v3/contenttype/forms"/>
  </ds:schemaRefs>
</ds:datastoreItem>
</file>

<file path=customXml/itemProps2.xml><?xml version="1.0" encoding="utf-8"?>
<ds:datastoreItem xmlns:ds="http://schemas.openxmlformats.org/officeDocument/2006/customXml" ds:itemID="{49EA5291-ED1F-4B03-BE11-F0259FE6854C}">
  <ds:schemaRefs>
    <ds:schemaRef ds:uri="4ffa91fb-a0ff-4ac5-b2db-65c790d184a4"/>
    <ds:schemaRef ds:uri="http://www.w3.org/XML/1998/namespace"/>
    <ds:schemaRef ds:uri="http://schemas.microsoft.com/office/2006/documentManagement/types"/>
    <ds:schemaRef ds:uri="http://schemas.microsoft.com/sharepoint/v3/field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schemas.microsoft.com/sharepoint.v3"/>
    <ds:schemaRef ds:uri="http://purl.org/dc/terms/"/>
    <ds:schemaRef ds:uri="1b69afd8-9bdb-481b-b26a-06cbd17fa30c"/>
    <ds:schemaRef ds:uri="a5d1ca4e-0a3f-4119-b619-e20b93ebd1aa"/>
    <ds:schemaRef ds:uri="http://schemas.microsoft.com/sharepoint/v3"/>
    <ds:schemaRef ds:uri="http://purl.org/dc/elements/1.1/"/>
  </ds:schemaRefs>
</ds:datastoreItem>
</file>

<file path=customXml/itemProps3.xml><?xml version="1.0" encoding="utf-8"?>
<ds:datastoreItem xmlns:ds="http://schemas.openxmlformats.org/officeDocument/2006/customXml" ds:itemID="{89943F7C-9A4D-45CF-9945-95F3D692FC6D}">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CEFF2A-1743-49E9-9391-B59444E71D28}">
  <ds:schemaRefs>
    <ds:schemaRef ds:uri="Microsoft.SharePoint.Taxonomy.ContentTypeSync"/>
  </ds:schemaRefs>
</ds:datastoreItem>
</file>

<file path=customXml/itemProps5.xml><?xml version="1.0" encoding="utf-8"?>
<ds:datastoreItem xmlns:ds="http://schemas.openxmlformats.org/officeDocument/2006/customXml" ds:itemID="{2E29121C-BC89-4C56-BA76-D3FC6D914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2215</Words>
  <Characters>12626</Characters>
  <Application>Microsoft Office Word</Application>
  <DocSecurity>10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Panger, Melissa</dc:creator>
  <cp:keywords/>
  <dc:description/>
  <cp:lastModifiedBy>Louie-Juzwiak, Rosanna</cp:lastModifiedBy>
  <cp:revision>2</cp:revision>
  <dcterms:created xsi:type="dcterms:W3CDTF">2020-10-21T18:17:00Z</dcterms:created>
  <dcterms:modified xsi:type="dcterms:W3CDTF">2020-10-21T18:17:00Z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