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7839" w14:textId="7DE319C2" w:rsidR="006A290E" w:rsidRDefault="006A290E" w:rsidP="006A290E">
      <w:pPr>
        <w:rPr>
          <w:b/>
          <w:bCs/>
          <w:color w:val="4471C4"/>
          <w:sz w:val="32"/>
          <w:szCs w:val="32"/>
        </w:rPr>
      </w:pPr>
      <w:bookmarkStart w:id="0" w:name="_Toc31193294"/>
      <w:bookmarkStart w:id="1" w:name="_Toc31193349"/>
      <w:bookmarkStart w:id="2" w:name="_Toc31220268"/>
      <w:bookmarkEnd w:id="0"/>
      <w:bookmarkEnd w:id="1"/>
      <w:r w:rsidRPr="7F3E87CA">
        <w:rPr>
          <w:b/>
          <w:bCs/>
          <w:color w:val="4471C4"/>
          <w:sz w:val="32"/>
          <w:szCs w:val="32"/>
        </w:rPr>
        <w:t xml:space="preserve">Chapter 1 – Draft </w:t>
      </w:r>
      <w:r w:rsidR="00F21192">
        <w:rPr>
          <w:b/>
          <w:bCs/>
          <w:color w:val="4471C4"/>
          <w:sz w:val="32"/>
          <w:szCs w:val="32"/>
        </w:rPr>
        <w:t>Atrazine</w:t>
      </w:r>
      <w:r w:rsidRPr="7F3E87CA">
        <w:rPr>
          <w:b/>
          <w:bCs/>
          <w:color w:val="4471C4"/>
          <w:sz w:val="32"/>
          <w:szCs w:val="32"/>
        </w:rPr>
        <w:t xml:space="preserve"> Problem Formulation</w:t>
      </w:r>
    </w:p>
    <w:p w14:paraId="0C601434" w14:textId="77777777" w:rsidR="0082363B" w:rsidRPr="00F01F1D" w:rsidRDefault="0082363B" w:rsidP="006A290E">
      <w:pPr>
        <w:rPr>
          <w:b/>
          <w:bCs/>
          <w:color w:val="5B9BD5" w:themeColor="accent5"/>
          <w:sz w:val="32"/>
          <w:szCs w:val="32"/>
        </w:rPr>
      </w:pPr>
    </w:p>
    <w:sdt>
      <w:sdtPr>
        <w:id w:val="-138042689"/>
        <w:docPartObj>
          <w:docPartGallery w:val="Table of Contents"/>
          <w:docPartUnique/>
        </w:docPartObj>
      </w:sdtPr>
      <w:sdtEndPr>
        <w:rPr>
          <w:b/>
          <w:bCs/>
          <w:noProof/>
        </w:rPr>
      </w:sdtEndPr>
      <w:sdtContent>
        <w:p w14:paraId="43B2CA7E" w14:textId="77777777" w:rsidR="006A290E" w:rsidRPr="006E5A11" w:rsidRDefault="006A290E" w:rsidP="006A290E">
          <w:pPr>
            <w:rPr>
              <w:color w:val="5B9BD5" w:themeColor="accent5"/>
              <w:sz w:val="32"/>
              <w:szCs w:val="32"/>
            </w:rPr>
          </w:pPr>
          <w:r w:rsidRPr="006E5A11">
            <w:rPr>
              <w:color w:val="5B9BD5" w:themeColor="accent5"/>
              <w:sz w:val="32"/>
              <w:szCs w:val="32"/>
            </w:rPr>
            <w:t>Contents</w:t>
          </w:r>
        </w:p>
        <w:p w14:paraId="33439EBE" w14:textId="0056EE9D" w:rsidR="0082363B" w:rsidRDefault="006A290E" w:rsidP="0082363B">
          <w:pPr>
            <w:pStyle w:val="TOC1"/>
            <w:spacing w:after="40"/>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768042" w:history="1">
            <w:r w:rsidR="0082363B" w:rsidRPr="004E1BB7">
              <w:rPr>
                <w:rStyle w:val="Hyperlink"/>
                <w:noProof/>
              </w:rPr>
              <w:t>1</w:t>
            </w:r>
            <w:r w:rsidR="0082363B">
              <w:rPr>
                <w:rFonts w:asciiTheme="minorHAnsi" w:eastAsiaTheme="minorEastAsia" w:hAnsiTheme="minorHAnsi" w:cstheme="minorBidi"/>
                <w:noProof/>
                <w:color w:val="auto"/>
              </w:rPr>
              <w:tab/>
            </w:r>
            <w:r w:rsidR="0082363B" w:rsidRPr="004E1BB7">
              <w:rPr>
                <w:rStyle w:val="Hyperlink"/>
                <w:noProof/>
              </w:rPr>
              <w:t>Introduction</w:t>
            </w:r>
            <w:r w:rsidR="0082363B">
              <w:rPr>
                <w:noProof/>
                <w:webHidden/>
              </w:rPr>
              <w:tab/>
            </w:r>
            <w:r w:rsidR="0082363B">
              <w:rPr>
                <w:noProof/>
                <w:webHidden/>
              </w:rPr>
              <w:fldChar w:fldCharType="begin"/>
            </w:r>
            <w:r w:rsidR="0082363B">
              <w:rPr>
                <w:noProof/>
                <w:webHidden/>
              </w:rPr>
              <w:instrText xml:space="preserve"> PAGEREF _Toc53768042 \h </w:instrText>
            </w:r>
            <w:r w:rsidR="0082363B">
              <w:rPr>
                <w:noProof/>
                <w:webHidden/>
              </w:rPr>
            </w:r>
            <w:r w:rsidR="0082363B">
              <w:rPr>
                <w:noProof/>
                <w:webHidden/>
              </w:rPr>
              <w:fldChar w:fldCharType="separate"/>
            </w:r>
            <w:r w:rsidR="007041A1">
              <w:rPr>
                <w:noProof/>
                <w:webHidden/>
              </w:rPr>
              <w:t>2</w:t>
            </w:r>
            <w:r w:rsidR="0082363B">
              <w:rPr>
                <w:noProof/>
                <w:webHidden/>
              </w:rPr>
              <w:fldChar w:fldCharType="end"/>
            </w:r>
          </w:hyperlink>
        </w:p>
        <w:p w14:paraId="442DBCE9" w14:textId="4E3A11D2" w:rsidR="0082363B" w:rsidRDefault="005D618A" w:rsidP="0082363B">
          <w:pPr>
            <w:pStyle w:val="TOC1"/>
            <w:spacing w:after="40"/>
            <w:rPr>
              <w:rFonts w:asciiTheme="minorHAnsi" w:eastAsiaTheme="minorEastAsia" w:hAnsiTheme="minorHAnsi" w:cstheme="minorBidi"/>
              <w:noProof/>
              <w:color w:val="auto"/>
            </w:rPr>
          </w:pPr>
          <w:hyperlink w:anchor="_Toc53768043" w:history="1">
            <w:r w:rsidR="0082363B" w:rsidRPr="004E1BB7">
              <w:rPr>
                <w:rStyle w:val="Hyperlink"/>
                <w:noProof/>
              </w:rPr>
              <w:t>2</w:t>
            </w:r>
            <w:r w:rsidR="0082363B">
              <w:rPr>
                <w:rFonts w:asciiTheme="minorHAnsi" w:eastAsiaTheme="minorEastAsia" w:hAnsiTheme="minorHAnsi" w:cstheme="minorBidi"/>
                <w:noProof/>
                <w:color w:val="auto"/>
              </w:rPr>
              <w:tab/>
            </w:r>
            <w:r w:rsidR="0082363B" w:rsidRPr="004E1BB7">
              <w:rPr>
                <w:rStyle w:val="Hyperlink"/>
                <w:noProof/>
              </w:rPr>
              <w:t>Description of the Federal Action</w:t>
            </w:r>
            <w:r w:rsidR="0082363B">
              <w:rPr>
                <w:noProof/>
                <w:webHidden/>
              </w:rPr>
              <w:tab/>
            </w:r>
            <w:r w:rsidR="0082363B">
              <w:rPr>
                <w:noProof/>
                <w:webHidden/>
              </w:rPr>
              <w:fldChar w:fldCharType="begin"/>
            </w:r>
            <w:r w:rsidR="0082363B">
              <w:rPr>
                <w:noProof/>
                <w:webHidden/>
              </w:rPr>
              <w:instrText xml:space="preserve"> PAGEREF _Toc53768043 \h </w:instrText>
            </w:r>
            <w:r w:rsidR="0082363B">
              <w:rPr>
                <w:noProof/>
                <w:webHidden/>
              </w:rPr>
            </w:r>
            <w:r w:rsidR="0082363B">
              <w:rPr>
                <w:noProof/>
                <w:webHidden/>
              </w:rPr>
              <w:fldChar w:fldCharType="separate"/>
            </w:r>
            <w:r w:rsidR="007041A1">
              <w:rPr>
                <w:noProof/>
                <w:webHidden/>
              </w:rPr>
              <w:t>2</w:t>
            </w:r>
            <w:r w:rsidR="0082363B">
              <w:rPr>
                <w:noProof/>
                <w:webHidden/>
              </w:rPr>
              <w:fldChar w:fldCharType="end"/>
            </w:r>
          </w:hyperlink>
        </w:p>
        <w:p w14:paraId="29B500FA" w14:textId="73F5F042" w:rsidR="0082363B" w:rsidRDefault="005D618A" w:rsidP="0082363B">
          <w:pPr>
            <w:pStyle w:val="TOC1"/>
            <w:spacing w:after="40"/>
            <w:rPr>
              <w:rFonts w:asciiTheme="minorHAnsi" w:eastAsiaTheme="minorEastAsia" w:hAnsiTheme="minorHAnsi" w:cstheme="minorBidi"/>
              <w:noProof/>
              <w:color w:val="auto"/>
            </w:rPr>
          </w:pPr>
          <w:hyperlink w:anchor="_Toc53768044" w:history="1">
            <w:r w:rsidR="0082363B" w:rsidRPr="004E1BB7">
              <w:rPr>
                <w:rStyle w:val="Hyperlink"/>
                <w:noProof/>
              </w:rPr>
              <w:t>3</w:t>
            </w:r>
            <w:r w:rsidR="0082363B">
              <w:rPr>
                <w:rFonts w:asciiTheme="minorHAnsi" w:eastAsiaTheme="minorEastAsia" w:hAnsiTheme="minorHAnsi" w:cstheme="minorBidi"/>
                <w:noProof/>
                <w:color w:val="auto"/>
              </w:rPr>
              <w:tab/>
            </w:r>
            <w:r w:rsidR="0082363B" w:rsidRPr="004E1BB7">
              <w:rPr>
                <w:rStyle w:val="Hyperlink"/>
                <w:noProof/>
              </w:rPr>
              <w:t>Mode and Mechanism of Action</w:t>
            </w:r>
            <w:r w:rsidR="0082363B">
              <w:rPr>
                <w:noProof/>
                <w:webHidden/>
              </w:rPr>
              <w:tab/>
            </w:r>
            <w:r w:rsidR="0082363B">
              <w:rPr>
                <w:noProof/>
                <w:webHidden/>
              </w:rPr>
              <w:fldChar w:fldCharType="begin"/>
            </w:r>
            <w:r w:rsidR="0082363B">
              <w:rPr>
                <w:noProof/>
                <w:webHidden/>
              </w:rPr>
              <w:instrText xml:space="preserve"> PAGEREF _Toc53768044 \h </w:instrText>
            </w:r>
            <w:r w:rsidR="0082363B">
              <w:rPr>
                <w:noProof/>
                <w:webHidden/>
              </w:rPr>
            </w:r>
            <w:r w:rsidR="0082363B">
              <w:rPr>
                <w:noProof/>
                <w:webHidden/>
              </w:rPr>
              <w:fldChar w:fldCharType="separate"/>
            </w:r>
            <w:r w:rsidR="007041A1">
              <w:rPr>
                <w:noProof/>
                <w:webHidden/>
              </w:rPr>
              <w:t>2</w:t>
            </w:r>
            <w:r w:rsidR="0082363B">
              <w:rPr>
                <w:noProof/>
                <w:webHidden/>
              </w:rPr>
              <w:fldChar w:fldCharType="end"/>
            </w:r>
          </w:hyperlink>
        </w:p>
        <w:p w14:paraId="1FF3317E" w14:textId="2DED7906" w:rsidR="0082363B" w:rsidRDefault="005D618A" w:rsidP="0082363B">
          <w:pPr>
            <w:pStyle w:val="TOC1"/>
            <w:spacing w:after="40"/>
            <w:rPr>
              <w:rFonts w:asciiTheme="minorHAnsi" w:eastAsiaTheme="minorEastAsia" w:hAnsiTheme="minorHAnsi" w:cstheme="minorBidi"/>
              <w:noProof/>
              <w:color w:val="auto"/>
            </w:rPr>
          </w:pPr>
          <w:hyperlink w:anchor="_Toc53768045" w:history="1">
            <w:r w:rsidR="0082363B" w:rsidRPr="004E1BB7">
              <w:rPr>
                <w:rStyle w:val="Hyperlink"/>
                <w:noProof/>
              </w:rPr>
              <w:t>4</w:t>
            </w:r>
            <w:r w:rsidR="0082363B">
              <w:rPr>
                <w:rFonts w:asciiTheme="minorHAnsi" w:eastAsiaTheme="minorEastAsia" w:hAnsiTheme="minorHAnsi" w:cstheme="minorBidi"/>
                <w:noProof/>
                <w:color w:val="auto"/>
              </w:rPr>
              <w:tab/>
            </w:r>
            <w:r w:rsidR="0082363B" w:rsidRPr="004E1BB7">
              <w:rPr>
                <w:rStyle w:val="Hyperlink"/>
                <w:noProof/>
              </w:rPr>
              <w:t>Use and Usage Characterization</w:t>
            </w:r>
            <w:r w:rsidR="0082363B">
              <w:rPr>
                <w:noProof/>
                <w:webHidden/>
              </w:rPr>
              <w:tab/>
            </w:r>
            <w:r w:rsidR="0082363B">
              <w:rPr>
                <w:noProof/>
                <w:webHidden/>
              </w:rPr>
              <w:fldChar w:fldCharType="begin"/>
            </w:r>
            <w:r w:rsidR="0082363B">
              <w:rPr>
                <w:noProof/>
                <w:webHidden/>
              </w:rPr>
              <w:instrText xml:space="preserve"> PAGEREF _Toc53768045 \h </w:instrText>
            </w:r>
            <w:r w:rsidR="0082363B">
              <w:rPr>
                <w:noProof/>
                <w:webHidden/>
              </w:rPr>
            </w:r>
            <w:r w:rsidR="0082363B">
              <w:rPr>
                <w:noProof/>
                <w:webHidden/>
              </w:rPr>
              <w:fldChar w:fldCharType="separate"/>
            </w:r>
            <w:r w:rsidR="007041A1">
              <w:rPr>
                <w:noProof/>
                <w:webHidden/>
              </w:rPr>
              <w:t>3</w:t>
            </w:r>
            <w:r w:rsidR="0082363B">
              <w:rPr>
                <w:noProof/>
                <w:webHidden/>
              </w:rPr>
              <w:fldChar w:fldCharType="end"/>
            </w:r>
          </w:hyperlink>
        </w:p>
        <w:p w14:paraId="4FBE6ADE" w14:textId="46242945" w:rsidR="0082363B" w:rsidRDefault="005D618A" w:rsidP="0082363B">
          <w:pPr>
            <w:pStyle w:val="TOC2"/>
            <w:tabs>
              <w:tab w:val="left" w:pos="880"/>
              <w:tab w:val="right" w:leader="dot" w:pos="9350"/>
            </w:tabs>
            <w:spacing w:after="40"/>
            <w:rPr>
              <w:rFonts w:asciiTheme="minorHAnsi" w:eastAsiaTheme="minorEastAsia" w:hAnsiTheme="minorHAnsi" w:cstheme="minorBidi"/>
              <w:noProof/>
              <w:color w:val="auto"/>
            </w:rPr>
          </w:pPr>
          <w:hyperlink w:anchor="_Toc53768046" w:history="1">
            <w:r w:rsidR="0082363B" w:rsidRPr="004E1BB7">
              <w:rPr>
                <w:rStyle w:val="Hyperlink"/>
                <w:noProof/>
              </w:rPr>
              <w:t>4.1</w:t>
            </w:r>
            <w:r w:rsidR="0082363B">
              <w:rPr>
                <w:rFonts w:asciiTheme="minorHAnsi" w:eastAsiaTheme="minorEastAsia" w:hAnsiTheme="minorHAnsi" w:cstheme="minorBidi"/>
                <w:noProof/>
                <w:color w:val="auto"/>
              </w:rPr>
              <w:tab/>
            </w:r>
            <w:r w:rsidR="0082363B" w:rsidRPr="004E1BB7">
              <w:rPr>
                <w:rStyle w:val="Hyperlink"/>
                <w:noProof/>
              </w:rPr>
              <w:t>Use Data (as Defined on Registered Product Labels)</w:t>
            </w:r>
            <w:r w:rsidR="0082363B">
              <w:rPr>
                <w:noProof/>
                <w:webHidden/>
              </w:rPr>
              <w:tab/>
            </w:r>
            <w:r w:rsidR="0082363B">
              <w:rPr>
                <w:noProof/>
                <w:webHidden/>
              </w:rPr>
              <w:fldChar w:fldCharType="begin"/>
            </w:r>
            <w:r w:rsidR="0082363B">
              <w:rPr>
                <w:noProof/>
                <w:webHidden/>
              </w:rPr>
              <w:instrText xml:space="preserve"> PAGEREF _Toc53768046 \h </w:instrText>
            </w:r>
            <w:r w:rsidR="0082363B">
              <w:rPr>
                <w:noProof/>
                <w:webHidden/>
              </w:rPr>
            </w:r>
            <w:r w:rsidR="0082363B">
              <w:rPr>
                <w:noProof/>
                <w:webHidden/>
              </w:rPr>
              <w:fldChar w:fldCharType="separate"/>
            </w:r>
            <w:r w:rsidR="007041A1">
              <w:rPr>
                <w:noProof/>
                <w:webHidden/>
              </w:rPr>
              <w:t>3</w:t>
            </w:r>
            <w:r w:rsidR="0082363B">
              <w:rPr>
                <w:noProof/>
                <w:webHidden/>
              </w:rPr>
              <w:fldChar w:fldCharType="end"/>
            </w:r>
          </w:hyperlink>
        </w:p>
        <w:p w14:paraId="5716940C" w14:textId="0B98DF67" w:rsidR="0082363B" w:rsidRDefault="005D618A" w:rsidP="0082363B">
          <w:pPr>
            <w:pStyle w:val="TOC2"/>
            <w:tabs>
              <w:tab w:val="left" w:pos="880"/>
              <w:tab w:val="right" w:leader="dot" w:pos="9350"/>
            </w:tabs>
            <w:spacing w:after="40"/>
            <w:rPr>
              <w:rFonts w:asciiTheme="minorHAnsi" w:eastAsiaTheme="minorEastAsia" w:hAnsiTheme="minorHAnsi" w:cstheme="minorBidi"/>
              <w:noProof/>
              <w:color w:val="auto"/>
            </w:rPr>
          </w:pPr>
          <w:hyperlink w:anchor="_Toc53768047" w:history="1">
            <w:r w:rsidR="0082363B" w:rsidRPr="004E1BB7">
              <w:rPr>
                <w:rStyle w:val="Hyperlink"/>
                <w:noProof/>
              </w:rPr>
              <w:t>4.2</w:t>
            </w:r>
            <w:r w:rsidR="0082363B">
              <w:rPr>
                <w:rFonts w:asciiTheme="minorHAnsi" w:eastAsiaTheme="minorEastAsia" w:hAnsiTheme="minorHAnsi" w:cstheme="minorBidi"/>
                <w:noProof/>
                <w:color w:val="auto"/>
              </w:rPr>
              <w:tab/>
            </w:r>
            <w:r w:rsidR="0082363B" w:rsidRPr="004E1BB7">
              <w:rPr>
                <w:rStyle w:val="Hyperlink"/>
                <w:noProof/>
              </w:rPr>
              <w:t>Usage Data</w:t>
            </w:r>
            <w:r w:rsidR="0082363B">
              <w:rPr>
                <w:noProof/>
                <w:webHidden/>
              </w:rPr>
              <w:tab/>
            </w:r>
            <w:r w:rsidR="0082363B">
              <w:rPr>
                <w:noProof/>
                <w:webHidden/>
              </w:rPr>
              <w:fldChar w:fldCharType="begin"/>
            </w:r>
            <w:r w:rsidR="0082363B">
              <w:rPr>
                <w:noProof/>
                <w:webHidden/>
              </w:rPr>
              <w:instrText xml:space="preserve"> PAGEREF _Toc53768047 \h </w:instrText>
            </w:r>
            <w:r w:rsidR="0082363B">
              <w:rPr>
                <w:noProof/>
                <w:webHidden/>
              </w:rPr>
            </w:r>
            <w:r w:rsidR="0082363B">
              <w:rPr>
                <w:noProof/>
                <w:webHidden/>
              </w:rPr>
              <w:fldChar w:fldCharType="separate"/>
            </w:r>
            <w:r w:rsidR="007041A1">
              <w:rPr>
                <w:noProof/>
                <w:webHidden/>
              </w:rPr>
              <w:t>4</w:t>
            </w:r>
            <w:r w:rsidR="0082363B">
              <w:rPr>
                <w:noProof/>
                <w:webHidden/>
              </w:rPr>
              <w:fldChar w:fldCharType="end"/>
            </w:r>
          </w:hyperlink>
        </w:p>
        <w:p w14:paraId="183A828E" w14:textId="209EB5F2" w:rsidR="0082363B" w:rsidRDefault="005D618A" w:rsidP="0082363B">
          <w:pPr>
            <w:pStyle w:val="TOC1"/>
            <w:spacing w:after="40"/>
            <w:rPr>
              <w:rFonts w:asciiTheme="minorHAnsi" w:eastAsiaTheme="minorEastAsia" w:hAnsiTheme="minorHAnsi" w:cstheme="minorBidi"/>
              <w:noProof/>
              <w:color w:val="auto"/>
            </w:rPr>
          </w:pPr>
          <w:hyperlink w:anchor="_Toc53768048" w:history="1">
            <w:r w:rsidR="0082363B" w:rsidRPr="004E1BB7">
              <w:rPr>
                <w:rStyle w:val="Hyperlink"/>
                <w:noProof/>
              </w:rPr>
              <w:t>5</w:t>
            </w:r>
            <w:r w:rsidR="0082363B">
              <w:rPr>
                <w:rFonts w:asciiTheme="minorHAnsi" w:eastAsiaTheme="minorEastAsia" w:hAnsiTheme="minorHAnsi" w:cstheme="minorBidi"/>
                <w:noProof/>
                <w:color w:val="auto"/>
              </w:rPr>
              <w:tab/>
            </w:r>
            <w:r w:rsidR="0082363B" w:rsidRPr="004E1BB7">
              <w:rPr>
                <w:rStyle w:val="Hyperlink"/>
                <w:noProof/>
              </w:rPr>
              <w:t>Overview of Environmental Fate</w:t>
            </w:r>
            <w:r w:rsidR="0082363B">
              <w:rPr>
                <w:noProof/>
                <w:webHidden/>
              </w:rPr>
              <w:tab/>
            </w:r>
            <w:r w:rsidR="0082363B">
              <w:rPr>
                <w:noProof/>
                <w:webHidden/>
              </w:rPr>
              <w:fldChar w:fldCharType="begin"/>
            </w:r>
            <w:r w:rsidR="0082363B">
              <w:rPr>
                <w:noProof/>
                <w:webHidden/>
              </w:rPr>
              <w:instrText xml:space="preserve"> PAGEREF _Toc53768048 \h </w:instrText>
            </w:r>
            <w:r w:rsidR="0082363B">
              <w:rPr>
                <w:noProof/>
                <w:webHidden/>
              </w:rPr>
            </w:r>
            <w:r w:rsidR="0082363B">
              <w:rPr>
                <w:noProof/>
                <w:webHidden/>
              </w:rPr>
              <w:fldChar w:fldCharType="separate"/>
            </w:r>
            <w:r w:rsidR="007041A1">
              <w:rPr>
                <w:noProof/>
                <w:webHidden/>
              </w:rPr>
              <w:t>4</w:t>
            </w:r>
            <w:r w:rsidR="0082363B">
              <w:rPr>
                <w:noProof/>
                <w:webHidden/>
              </w:rPr>
              <w:fldChar w:fldCharType="end"/>
            </w:r>
          </w:hyperlink>
        </w:p>
        <w:p w14:paraId="17AF2E2C" w14:textId="6D8024FE" w:rsidR="0082363B" w:rsidRDefault="005D618A" w:rsidP="0082363B">
          <w:pPr>
            <w:pStyle w:val="TOC1"/>
            <w:spacing w:after="40"/>
            <w:rPr>
              <w:rFonts w:asciiTheme="minorHAnsi" w:eastAsiaTheme="minorEastAsia" w:hAnsiTheme="minorHAnsi" w:cstheme="minorBidi"/>
              <w:noProof/>
              <w:color w:val="auto"/>
            </w:rPr>
          </w:pPr>
          <w:hyperlink w:anchor="_Toc53768049" w:history="1">
            <w:r w:rsidR="0082363B" w:rsidRPr="004E1BB7">
              <w:rPr>
                <w:rStyle w:val="Hyperlink"/>
                <w:noProof/>
              </w:rPr>
              <w:t>6</w:t>
            </w:r>
            <w:r w:rsidR="0082363B">
              <w:rPr>
                <w:rFonts w:asciiTheme="minorHAnsi" w:eastAsiaTheme="minorEastAsia" w:hAnsiTheme="minorHAnsi" w:cstheme="minorBidi"/>
                <w:noProof/>
                <w:color w:val="auto"/>
              </w:rPr>
              <w:tab/>
            </w:r>
            <w:r w:rsidR="0082363B" w:rsidRPr="004E1BB7">
              <w:rPr>
                <w:rStyle w:val="Hyperlink"/>
                <w:noProof/>
              </w:rPr>
              <w:t>Residue of Concern</w:t>
            </w:r>
            <w:r w:rsidR="0082363B">
              <w:rPr>
                <w:noProof/>
                <w:webHidden/>
              </w:rPr>
              <w:tab/>
            </w:r>
            <w:r w:rsidR="0082363B">
              <w:rPr>
                <w:noProof/>
                <w:webHidden/>
              </w:rPr>
              <w:fldChar w:fldCharType="begin"/>
            </w:r>
            <w:r w:rsidR="0082363B">
              <w:rPr>
                <w:noProof/>
                <w:webHidden/>
              </w:rPr>
              <w:instrText xml:space="preserve"> PAGEREF _Toc53768049 \h </w:instrText>
            </w:r>
            <w:r w:rsidR="0082363B">
              <w:rPr>
                <w:noProof/>
                <w:webHidden/>
              </w:rPr>
            </w:r>
            <w:r w:rsidR="0082363B">
              <w:rPr>
                <w:noProof/>
                <w:webHidden/>
              </w:rPr>
              <w:fldChar w:fldCharType="separate"/>
            </w:r>
            <w:r w:rsidR="007041A1">
              <w:rPr>
                <w:noProof/>
                <w:webHidden/>
              </w:rPr>
              <w:t>5</w:t>
            </w:r>
            <w:r w:rsidR="0082363B">
              <w:rPr>
                <w:noProof/>
                <w:webHidden/>
              </w:rPr>
              <w:fldChar w:fldCharType="end"/>
            </w:r>
          </w:hyperlink>
        </w:p>
        <w:p w14:paraId="368B0462" w14:textId="53F88150" w:rsidR="0082363B" w:rsidRDefault="005D618A" w:rsidP="0082363B">
          <w:pPr>
            <w:pStyle w:val="TOC1"/>
            <w:spacing w:after="40"/>
            <w:rPr>
              <w:rFonts w:asciiTheme="minorHAnsi" w:eastAsiaTheme="minorEastAsia" w:hAnsiTheme="minorHAnsi" w:cstheme="minorBidi"/>
              <w:noProof/>
              <w:color w:val="auto"/>
            </w:rPr>
          </w:pPr>
          <w:hyperlink w:anchor="_Toc53768050" w:history="1">
            <w:r w:rsidR="0082363B" w:rsidRPr="004E1BB7">
              <w:rPr>
                <w:rStyle w:val="Hyperlink"/>
                <w:noProof/>
              </w:rPr>
              <w:t>7</w:t>
            </w:r>
            <w:r w:rsidR="0082363B">
              <w:rPr>
                <w:rFonts w:asciiTheme="minorHAnsi" w:eastAsiaTheme="minorEastAsia" w:hAnsiTheme="minorHAnsi" w:cstheme="minorBidi"/>
                <w:noProof/>
                <w:color w:val="auto"/>
              </w:rPr>
              <w:tab/>
            </w:r>
            <w:r w:rsidR="0082363B" w:rsidRPr="004E1BB7">
              <w:rPr>
                <w:rStyle w:val="Hyperlink"/>
                <w:noProof/>
              </w:rPr>
              <w:t>Analysis Plan</w:t>
            </w:r>
            <w:r w:rsidR="0082363B">
              <w:rPr>
                <w:noProof/>
                <w:webHidden/>
              </w:rPr>
              <w:tab/>
            </w:r>
            <w:r w:rsidR="0082363B">
              <w:rPr>
                <w:noProof/>
                <w:webHidden/>
              </w:rPr>
              <w:fldChar w:fldCharType="begin"/>
            </w:r>
            <w:r w:rsidR="0082363B">
              <w:rPr>
                <w:noProof/>
                <w:webHidden/>
              </w:rPr>
              <w:instrText xml:space="preserve"> PAGEREF _Toc53768050 \h </w:instrText>
            </w:r>
            <w:r w:rsidR="0082363B">
              <w:rPr>
                <w:noProof/>
                <w:webHidden/>
              </w:rPr>
            </w:r>
            <w:r w:rsidR="0082363B">
              <w:rPr>
                <w:noProof/>
                <w:webHidden/>
              </w:rPr>
              <w:fldChar w:fldCharType="separate"/>
            </w:r>
            <w:r w:rsidR="007041A1">
              <w:rPr>
                <w:noProof/>
                <w:webHidden/>
              </w:rPr>
              <w:t>5</w:t>
            </w:r>
            <w:r w:rsidR="0082363B">
              <w:rPr>
                <w:noProof/>
                <w:webHidden/>
              </w:rPr>
              <w:fldChar w:fldCharType="end"/>
            </w:r>
          </w:hyperlink>
        </w:p>
        <w:p w14:paraId="7115FD99" w14:textId="0E33F880" w:rsidR="006A290E" w:rsidRDefault="006A290E" w:rsidP="006A290E">
          <w:pPr>
            <w:rPr>
              <w:b/>
              <w:bCs/>
              <w:noProof/>
            </w:rPr>
          </w:pPr>
          <w:r>
            <w:rPr>
              <w:b/>
              <w:bCs/>
              <w:noProof/>
            </w:rPr>
            <w:fldChar w:fldCharType="end"/>
          </w:r>
        </w:p>
      </w:sdtContent>
    </w:sdt>
    <w:p w14:paraId="0AF2E695" w14:textId="77777777" w:rsidR="00EC03E3" w:rsidRDefault="00EC03E3" w:rsidP="00EC03E3">
      <w:pPr>
        <w:pStyle w:val="NoSpacing"/>
      </w:pPr>
    </w:p>
    <w:p w14:paraId="0DAB2AE0" w14:textId="77777777" w:rsidR="0082363B" w:rsidRDefault="0082363B">
      <w:pPr>
        <w:rPr>
          <w:color w:val="2E75B5"/>
          <w:sz w:val="24"/>
          <w:szCs w:val="28"/>
        </w:rPr>
      </w:pPr>
      <w:r>
        <w:br w:type="page"/>
      </w:r>
    </w:p>
    <w:p w14:paraId="73AECF4A" w14:textId="5CF3BD1F" w:rsidR="006A290E" w:rsidRDefault="006A290E" w:rsidP="006A290E">
      <w:pPr>
        <w:pStyle w:val="TOCHeading"/>
      </w:pPr>
      <w:bookmarkStart w:id="3" w:name="_Toc53768042"/>
      <w:r>
        <w:lastRenderedPageBreak/>
        <w:t>Introduction</w:t>
      </w:r>
      <w:bookmarkEnd w:id="3"/>
    </w:p>
    <w:p w14:paraId="14533BB4" w14:textId="77777777" w:rsidR="006A290E" w:rsidRDefault="006A290E" w:rsidP="006A290E">
      <w:pPr>
        <w:spacing w:after="0" w:line="240" w:lineRule="auto"/>
      </w:pPr>
    </w:p>
    <w:p w14:paraId="58261892" w14:textId="57FC8130" w:rsidR="006A290E" w:rsidRDefault="006A290E" w:rsidP="006A290E">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 xml:space="preserve">the </w:t>
      </w:r>
      <w:r w:rsidR="00F21192">
        <w:rPr>
          <w:rStyle w:val="eop"/>
          <w:rFonts w:asciiTheme="minorHAnsi" w:hAnsiTheme="minorHAnsi" w:cstheme="minorHAnsi"/>
        </w:rPr>
        <w:t>atrazine</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Biological Evaluations</w:t>
      </w:r>
      <w:r>
        <w:rPr>
          <w:rStyle w:val="normaltextrun"/>
          <w:rFonts w:asciiTheme="minorHAnsi" w:hAnsiTheme="minorHAnsi" w:cstheme="minorHAnsi"/>
          <w:bCs/>
        </w:rPr>
        <w:t xml:space="preserve"> o</w:t>
      </w:r>
      <w:r w:rsidRPr="001561C2">
        <w:rPr>
          <w:rStyle w:val="normaltextrun"/>
          <w:rFonts w:asciiTheme="minorHAnsi" w:hAnsiTheme="minorHAnsi" w:cstheme="minorHAnsi"/>
          <w:bCs/>
        </w:rPr>
        <w:t>f Conventional Pesticides</w:t>
      </w:r>
      <w:r w:rsidRPr="001561C2">
        <w:rPr>
          <w:rStyle w:val="eop"/>
          <w:rFonts w:asciiTheme="minorHAnsi" w:hAnsiTheme="minorHAnsi" w:cstheme="minorHAnsi"/>
        </w:rPr>
        <w:t> (referred to as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sidR="00F21192">
        <w:rPr>
          <w:rStyle w:val="eop"/>
          <w:rFonts w:asciiTheme="minorHAnsi" w:hAnsiTheme="minorHAnsi" w:cstheme="minorHAnsi"/>
        </w:rPr>
        <w:t>atrazine</w:t>
      </w:r>
      <w:r w:rsidRPr="001561C2">
        <w:rPr>
          <w:rStyle w:val="eop"/>
          <w:rFonts w:asciiTheme="minorHAnsi" w:hAnsiTheme="minorHAnsi" w:cstheme="minorHAnsi"/>
        </w:rPr>
        <w:t xml:space="preserve"> represents EPA’s Biological Evaluation (BE) for all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48896B03" w14:textId="77777777" w:rsidR="006A290E" w:rsidRDefault="006A290E" w:rsidP="006A290E">
      <w:pPr>
        <w:spacing w:after="0" w:line="240" w:lineRule="auto"/>
      </w:pPr>
    </w:p>
    <w:p w14:paraId="5ADB20FD" w14:textId="20CD5770" w:rsidR="006A290E" w:rsidRDefault="006A290E" w:rsidP="006A290E">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F21192">
        <w:rPr>
          <w:color w:val="000000" w:themeColor="text1"/>
        </w:rPr>
        <w:t>atrazine</w:t>
      </w:r>
      <w:r>
        <w:rPr>
          <w:color w:val="000000" w:themeColor="text1"/>
        </w:rPr>
        <w:t>; summaries of its uses (based on registered product labels</w:t>
      </w:r>
      <w:r w:rsidR="009057CE">
        <w:rPr>
          <w:color w:val="000000" w:themeColor="text1"/>
        </w:rPr>
        <w:t xml:space="preserve"> and commitment letters</w:t>
      </w:r>
      <w:r w:rsidR="00423D1C">
        <w:rPr>
          <w:color w:val="000000" w:themeColor="text1"/>
        </w:rPr>
        <w:t xml:space="preserve"> from all technical registrants</w:t>
      </w:r>
      <w:r>
        <w:rPr>
          <w:color w:val="000000" w:themeColor="text1"/>
        </w:rPr>
        <w:t>), usage, and fate; definition of the residue of concern</w:t>
      </w:r>
      <w:r w:rsidR="00414C8C">
        <w:rPr>
          <w:color w:val="000000" w:themeColor="text1"/>
        </w:rPr>
        <w:t xml:space="preserve"> and</w:t>
      </w:r>
      <w:r>
        <w:rPr>
          <w:color w:val="000000" w:themeColor="text1"/>
        </w:rPr>
        <w:t xml:space="preserve"> an analysis plan for how the </w:t>
      </w:r>
      <w:r w:rsidR="00080AEA">
        <w:rPr>
          <w:color w:val="000000" w:themeColor="text1"/>
        </w:rPr>
        <w:t>BE</w:t>
      </w:r>
      <w:r>
        <w:rPr>
          <w:color w:val="000000" w:themeColor="text1"/>
        </w:rPr>
        <w:t xml:space="preserve"> will be conducted</w:t>
      </w:r>
      <w:r w:rsidRPr="00C67EFD">
        <w:rPr>
          <w:color w:val="000000" w:themeColor="text1"/>
        </w:rPr>
        <w:t xml:space="preserve">.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Pr>
          <w:color w:val="000000" w:themeColor="text1"/>
        </w:rPr>
        <w:t xml:space="preserve">FIFRA </w:t>
      </w:r>
      <w:r w:rsidRPr="00DD0C13">
        <w:rPr>
          <w:color w:val="000000" w:themeColor="text1"/>
        </w:rPr>
        <w:t xml:space="preserve">ecological risk assessment of </w:t>
      </w:r>
      <w:r w:rsidR="00F21192">
        <w:rPr>
          <w:color w:val="000000" w:themeColor="text1"/>
        </w:rPr>
        <w:t>atrazine</w:t>
      </w:r>
      <w:r w:rsidRPr="00DD0C13">
        <w:rPr>
          <w:color w:val="000000" w:themeColor="text1"/>
        </w:rPr>
        <w:t xml:space="preserve"> was finalized in </w:t>
      </w:r>
      <w:r w:rsidR="000143EE">
        <w:rPr>
          <w:color w:val="000000" w:themeColor="text1"/>
        </w:rPr>
        <w:t>May 2013</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w:t>
      </w:r>
      <w:r w:rsidR="000143EE">
        <w:rPr>
          <w:noProof/>
          <w:color w:val="000000" w:themeColor="text1"/>
        </w:rPr>
        <w:t>3</w:t>
      </w:r>
      <w:r w:rsidRPr="00DD0C13">
        <w:rPr>
          <w:noProof/>
          <w:color w:val="000000" w:themeColor="text1"/>
        </w:rPr>
        <w:t>, DP Barcode D</w:t>
      </w:r>
      <w:r w:rsidR="000143EE">
        <w:rPr>
          <w:noProof/>
          <w:color w:val="000000" w:themeColor="text1"/>
        </w:rPr>
        <w:t>407490</w:t>
      </w:r>
      <w:r w:rsidRPr="00DD0C13">
        <w:rPr>
          <w:noProof/>
          <w:color w:val="000000" w:themeColor="text1"/>
        </w:rPr>
        <w:t>)</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00A01931" w14:textId="77777777" w:rsidR="007041A1" w:rsidRDefault="007041A1" w:rsidP="006A290E">
      <w:pPr>
        <w:spacing w:after="0" w:line="240" w:lineRule="auto"/>
        <w:rPr>
          <w:color w:val="000000" w:themeColor="text1"/>
        </w:rPr>
      </w:pPr>
    </w:p>
    <w:p w14:paraId="238D6E04" w14:textId="77777777" w:rsidR="006A290E" w:rsidRDefault="006A290E" w:rsidP="006A290E">
      <w:pPr>
        <w:spacing w:after="0" w:line="240" w:lineRule="auto"/>
        <w:rPr>
          <w:color w:val="000000" w:themeColor="text1"/>
        </w:rPr>
      </w:pPr>
    </w:p>
    <w:p w14:paraId="03C25CB5" w14:textId="77777777" w:rsidR="006A290E" w:rsidRPr="0017444E" w:rsidRDefault="006A290E" w:rsidP="006A290E">
      <w:pPr>
        <w:pStyle w:val="TOCHeading"/>
      </w:pPr>
      <w:bookmarkStart w:id="4" w:name="_Toc53768043"/>
      <w:bookmarkEnd w:id="2"/>
      <w:r w:rsidRPr="0017444E">
        <w:t>Description of the Federal Action</w:t>
      </w:r>
      <w:bookmarkEnd w:id="4"/>
      <w:r w:rsidRPr="0017444E">
        <w:t xml:space="preserve"> </w:t>
      </w:r>
    </w:p>
    <w:p w14:paraId="526B49A5" w14:textId="77777777" w:rsidR="006A290E" w:rsidRDefault="006A290E" w:rsidP="006A290E">
      <w:pPr>
        <w:keepNext/>
        <w:spacing w:after="0" w:line="240" w:lineRule="auto"/>
      </w:pPr>
    </w:p>
    <w:p w14:paraId="30CB08B7" w14:textId="77777777" w:rsidR="00EC03E3"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5" w:name="_Hlk33448916"/>
      <w:r w:rsidRPr="001561C2">
        <w:t xml:space="preserve">all pesticide products in the marketplace </w:t>
      </w:r>
      <w:r>
        <w:t>continue to meet the standard of registration</w:t>
      </w:r>
      <w:bookmarkEnd w:id="5"/>
      <w:r w:rsidRPr="001561C2">
        <w:t xml:space="preserve">. Registration </w:t>
      </w:r>
      <w:r>
        <w:t>R</w:t>
      </w:r>
      <w:r w:rsidRPr="001561C2">
        <w:t xml:space="preserve">eview includes labels 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F21192">
        <w:t>atrazine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F21192">
        <w:t>atrazine</w:t>
      </w:r>
      <w:r w:rsidRPr="001561C2">
        <w:t xml:space="preserve">.  </w:t>
      </w:r>
    </w:p>
    <w:p w14:paraId="78F51A20" w14:textId="23849814" w:rsidR="006A290E" w:rsidRDefault="006A290E" w:rsidP="006A290E">
      <w:pPr>
        <w:keepNext/>
        <w:spacing w:after="0" w:line="240" w:lineRule="auto"/>
      </w:pPr>
      <w:r w:rsidRPr="001561C2">
        <w:t xml:space="preserve"> </w:t>
      </w:r>
    </w:p>
    <w:p w14:paraId="6DF83FFF" w14:textId="77777777" w:rsidR="006A290E" w:rsidRDefault="006A290E" w:rsidP="006A290E">
      <w:pPr>
        <w:spacing w:after="0" w:line="240" w:lineRule="auto"/>
        <w:rPr>
          <w:color w:val="000000" w:themeColor="text1"/>
        </w:rPr>
      </w:pPr>
    </w:p>
    <w:p w14:paraId="67BC1BEF" w14:textId="77777777" w:rsidR="006A290E" w:rsidRPr="001561C2" w:rsidRDefault="006A290E" w:rsidP="006A290E">
      <w:pPr>
        <w:pStyle w:val="TOCHeading"/>
      </w:pPr>
      <w:bookmarkStart w:id="6" w:name="_Toc31220272"/>
      <w:bookmarkStart w:id="7" w:name="_Toc53768044"/>
      <w:r w:rsidRPr="001561C2">
        <w:t>Mode and Mechanism of Action</w:t>
      </w:r>
      <w:bookmarkEnd w:id="6"/>
      <w:bookmarkEnd w:id="7"/>
      <w:r w:rsidRPr="001561C2">
        <w:t xml:space="preserve"> </w:t>
      </w:r>
    </w:p>
    <w:p w14:paraId="36889B3B" w14:textId="77777777" w:rsidR="006A290E" w:rsidRPr="00BB3BB8" w:rsidRDefault="006A290E" w:rsidP="006A290E">
      <w:pPr>
        <w:keepNext/>
        <w:keepLines/>
        <w:spacing w:after="0" w:line="240" w:lineRule="auto"/>
      </w:pPr>
    </w:p>
    <w:p w14:paraId="37D22A4D" w14:textId="6769C4C0" w:rsidR="00BE04DA" w:rsidRDefault="00EF6E79" w:rsidP="00EF6E79">
      <w:pPr>
        <w:spacing w:after="0" w:line="240" w:lineRule="auto"/>
        <w:rPr>
          <w:rFonts w:asciiTheme="minorHAnsi" w:hAnsiTheme="minorHAnsi" w:cstheme="minorHAnsi"/>
        </w:rPr>
      </w:pPr>
      <w:r w:rsidRPr="00946398">
        <w:rPr>
          <w:rFonts w:asciiTheme="minorHAnsi" w:hAnsiTheme="minorHAnsi" w:cstheme="minorHAnsi"/>
        </w:rPr>
        <w:t xml:space="preserve">Three chlorotriazine herbicides have current registrations in the United States: </w:t>
      </w:r>
      <w:r w:rsidR="00B67804" w:rsidRPr="00946398">
        <w:rPr>
          <w:rFonts w:asciiTheme="minorHAnsi" w:hAnsiTheme="minorHAnsi" w:cstheme="minorHAnsi"/>
        </w:rPr>
        <w:t>atrazine (6-chloro-N-ethyl-N′-(1-methylethyl)-1,3,5-triazine-2,4-diamine</w:t>
      </w:r>
      <w:r w:rsidR="00B67804">
        <w:rPr>
          <w:rFonts w:asciiTheme="minorHAnsi" w:hAnsiTheme="minorHAnsi" w:cstheme="minorHAnsi"/>
        </w:rPr>
        <w:t>;</w:t>
      </w:r>
      <w:r w:rsidR="00B67804" w:rsidRPr="00946398">
        <w:rPr>
          <w:rFonts w:asciiTheme="minorHAnsi" w:hAnsiTheme="minorHAnsi" w:cstheme="minorHAnsi"/>
        </w:rPr>
        <w:t xml:space="preserve"> PC code 080803</w:t>
      </w:r>
      <w:r w:rsidR="00B67804">
        <w:rPr>
          <w:rFonts w:asciiTheme="minorHAnsi" w:hAnsiTheme="minorHAnsi" w:cstheme="minorHAnsi"/>
        </w:rPr>
        <w:t>)</w:t>
      </w:r>
      <w:r w:rsidR="00B67804" w:rsidRPr="00946398">
        <w:rPr>
          <w:rFonts w:asciiTheme="minorHAnsi" w:hAnsiTheme="minorHAnsi" w:cstheme="minorHAnsi"/>
        </w:rPr>
        <w:t xml:space="preserve">; </w:t>
      </w:r>
      <w:r w:rsidR="00B67804">
        <w:rPr>
          <w:rFonts w:asciiTheme="minorHAnsi" w:hAnsiTheme="minorHAnsi" w:cstheme="minorHAnsi"/>
        </w:rPr>
        <w:t>simazine</w:t>
      </w:r>
      <w:r w:rsidR="000F6F4D" w:rsidRPr="00946398">
        <w:rPr>
          <w:rFonts w:asciiTheme="minorHAnsi" w:hAnsiTheme="minorHAnsi" w:cstheme="minorHAnsi"/>
        </w:rPr>
        <w:t xml:space="preserve"> (6-chloro-N,N′-diethyl-1,3,5-triazine-2,4-diamine</w:t>
      </w:r>
      <w:r w:rsidR="00BE04DA">
        <w:rPr>
          <w:rFonts w:asciiTheme="minorHAnsi" w:hAnsiTheme="minorHAnsi" w:cstheme="minorHAnsi"/>
        </w:rPr>
        <w:t xml:space="preserve">; </w:t>
      </w:r>
      <w:r w:rsidR="000F6F4D" w:rsidRPr="00946398">
        <w:rPr>
          <w:rFonts w:asciiTheme="minorHAnsi" w:hAnsiTheme="minorHAnsi" w:cstheme="minorHAnsi"/>
        </w:rPr>
        <w:t>PC code 080807</w:t>
      </w:r>
      <w:r w:rsidR="00BE04DA">
        <w:rPr>
          <w:rFonts w:asciiTheme="minorHAnsi" w:hAnsiTheme="minorHAnsi" w:cstheme="minorHAnsi"/>
        </w:rPr>
        <w:t>)</w:t>
      </w:r>
      <w:r w:rsidRPr="00946398">
        <w:rPr>
          <w:rFonts w:asciiTheme="minorHAnsi" w:hAnsiTheme="minorHAnsi" w:cstheme="minorHAnsi"/>
        </w:rPr>
        <w:t xml:space="preserve">; and </w:t>
      </w:r>
      <w:r w:rsidR="000F6F4D" w:rsidRPr="00946398">
        <w:rPr>
          <w:rFonts w:asciiTheme="minorHAnsi" w:hAnsiTheme="minorHAnsi" w:cstheme="minorHAnsi"/>
        </w:rPr>
        <w:t>propazine (6-chloro-N,N′-bis(1-methylethyl)-1,3,5-triazine-2,4-diamine</w:t>
      </w:r>
      <w:r w:rsidR="00BE04DA">
        <w:rPr>
          <w:rFonts w:asciiTheme="minorHAnsi" w:hAnsiTheme="minorHAnsi" w:cstheme="minorHAnsi"/>
        </w:rPr>
        <w:t>;</w:t>
      </w:r>
      <w:r w:rsidR="000F6F4D" w:rsidRPr="00946398">
        <w:rPr>
          <w:rFonts w:asciiTheme="minorHAnsi" w:hAnsiTheme="minorHAnsi" w:cstheme="minorHAnsi"/>
        </w:rPr>
        <w:t xml:space="preserve"> PC code 080808</w:t>
      </w:r>
      <w:r w:rsidR="00BE04DA">
        <w:rPr>
          <w:rFonts w:asciiTheme="minorHAnsi" w:hAnsiTheme="minorHAnsi" w:cstheme="minorHAnsi"/>
        </w:rPr>
        <w:t>)</w:t>
      </w:r>
      <w:r w:rsidRPr="00946398">
        <w:rPr>
          <w:rFonts w:asciiTheme="minorHAnsi" w:hAnsiTheme="minorHAnsi" w:cstheme="minorHAnsi"/>
        </w:rPr>
        <w:t>. These three chemicals differ only in number and/or position of methyl groups on moieties branched in identical positions off the triazine ring, thus are structurally nearly identical.  Based upon the available guideline and non-guideline toxicity studies, these chlorotriazines result in similar herbicidal effects to terrestrial and aquatic plants. </w:t>
      </w:r>
    </w:p>
    <w:p w14:paraId="42E12129" w14:textId="77777777" w:rsidR="00BE04DA" w:rsidRDefault="00BE04DA" w:rsidP="00EF6E79">
      <w:pPr>
        <w:spacing w:after="0" w:line="240" w:lineRule="auto"/>
        <w:rPr>
          <w:rFonts w:asciiTheme="minorHAnsi" w:hAnsiTheme="minorHAnsi" w:cstheme="minorHAnsi"/>
        </w:rPr>
      </w:pPr>
    </w:p>
    <w:p w14:paraId="76A7DEB7" w14:textId="326565D3" w:rsidR="00394073" w:rsidRDefault="00BE04DA" w:rsidP="00EF6E79">
      <w:pPr>
        <w:spacing w:after="0" w:line="240" w:lineRule="auto"/>
        <w:rPr>
          <w:rFonts w:asciiTheme="minorHAnsi" w:hAnsiTheme="minorHAnsi" w:cstheme="minorHAnsi"/>
        </w:rPr>
      </w:pPr>
      <w:r>
        <w:rPr>
          <w:rFonts w:asciiTheme="minorHAnsi" w:hAnsiTheme="minorHAnsi" w:cstheme="minorHAnsi"/>
        </w:rPr>
        <w:t xml:space="preserve">In plants, </w:t>
      </w:r>
      <w:r w:rsidR="00F21192">
        <w:rPr>
          <w:rFonts w:asciiTheme="minorHAnsi" w:hAnsiTheme="minorHAnsi" w:cstheme="minorHAnsi"/>
        </w:rPr>
        <w:t>atrazine</w:t>
      </w:r>
      <w:r w:rsidR="00EF6E79" w:rsidRPr="00946398">
        <w:rPr>
          <w:rFonts w:asciiTheme="minorHAnsi" w:hAnsiTheme="minorHAnsi" w:cstheme="minorHAnsi"/>
        </w:rPr>
        <w:t xml:space="preserve"> bind</w:t>
      </w:r>
      <w:r>
        <w:rPr>
          <w:rFonts w:asciiTheme="minorHAnsi" w:hAnsiTheme="minorHAnsi" w:cstheme="minorHAnsi"/>
        </w:rPr>
        <w:t>s</w:t>
      </w:r>
      <w:r w:rsidR="00EF6E79" w:rsidRPr="00946398">
        <w:rPr>
          <w:rFonts w:asciiTheme="minorHAnsi" w:hAnsiTheme="minorHAnsi" w:cstheme="minorHAnsi"/>
        </w:rPr>
        <w:t xml:space="preserve"> with a protein complex of the photosystem II in chloroplast photosynthetic membranes (Schulz et al., 1990). The result is an inhibition in the transfer of electrons through the light </w:t>
      </w:r>
      <w:r w:rsidR="00EF6E79" w:rsidRPr="00946398">
        <w:rPr>
          <w:rFonts w:asciiTheme="minorHAnsi" w:hAnsiTheme="minorHAnsi" w:cstheme="minorHAnsi"/>
        </w:rPr>
        <w:lastRenderedPageBreak/>
        <w:t>reactions of photosynthesis that in turn inhibits the formation and release of oxygen, production of adenosine triphosphate, and the fixation of carbon dioxide into sugars.</w:t>
      </w:r>
      <w:r w:rsidR="00FE1986">
        <w:rPr>
          <w:rFonts w:asciiTheme="minorHAnsi" w:hAnsiTheme="minorHAnsi" w:cstheme="minorHAnsi"/>
        </w:rPr>
        <w:t xml:space="preserve"> Plant death results from starvation and oxidative damage caused by the breakdown in photosynthesis. </w:t>
      </w:r>
    </w:p>
    <w:p w14:paraId="34B6C821" w14:textId="77777777" w:rsidR="00394073" w:rsidRDefault="00394073" w:rsidP="00EF6E79">
      <w:pPr>
        <w:spacing w:after="0" w:line="240" w:lineRule="auto"/>
        <w:rPr>
          <w:rFonts w:asciiTheme="minorHAnsi" w:hAnsiTheme="minorHAnsi" w:cstheme="minorHAnsi"/>
        </w:rPr>
      </w:pPr>
    </w:p>
    <w:p w14:paraId="47AAD913" w14:textId="781A18F6" w:rsidR="00EF6E79" w:rsidRDefault="00394073" w:rsidP="00EF6E79">
      <w:pPr>
        <w:spacing w:after="0" w:line="240" w:lineRule="auto"/>
        <w:rPr>
          <w:rFonts w:asciiTheme="minorHAnsi" w:hAnsiTheme="minorHAnsi"/>
        </w:rPr>
      </w:pPr>
      <w:r>
        <w:rPr>
          <w:rFonts w:asciiTheme="minorHAnsi" w:hAnsiTheme="minorHAnsi" w:cstheme="minorHAnsi"/>
        </w:rPr>
        <w:t xml:space="preserve">While this pathway is not found in animals, </w:t>
      </w:r>
      <w:r w:rsidR="00F21192">
        <w:rPr>
          <w:rFonts w:asciiTheme="minorHAnsi" w:hAnsiTheme="minorHAnsi"/>
        </w:rPr>
        <w:t>atrazine</w:t>
      </w:r>
      <w:r>
        <w:rPr>
          <w:rFonts w:asciiTheme="minorHAnsi" w:hAnsiTheme="minorHAnsi"/>
        </w:rPr>
        <w:t xml:space="preserve"> </w:t>
      </w:r>
      <w:r w:rsidRPr="00C4412F">
        <w:rPr>
          <w:rFonts w:asciiTheme="minorHAnsi" w:hAnsiTheme="minorHAnsi"/>
        </w:rPr>
        <w:t xml:space="preserve">and the 3 chlorinated degradates all exhibit neuroendocrine effects seen across mammals and can alter hormone levels in rats that may result in developmental and reproductive consequences. In addition to this primary effect in mammals,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p>
    <w:p w14:paraId="1C3C9652" w14:textId="77777777" w:rsidR="00EC03E3" w:rsidRPr="00946398" w:rsidRDefault="00EC03E3" w:rsidP="00EF6E79">
      <w:pPr>
        <w:spacing w:after="0" w:line="240" w:lineRule="auto"/>
        <w:rPr>
          <w:rFonts w:asciiTheme="minorHAnsi" w:hAnsiTheme="minorHAnsi" w:cstheme="minorHAnsi"/>
        </w:rPr>
      </w:pPr>
    </w:p>
    <w:p w14:paraId="226BEDCD" w14:textId="77777777" w:rsidR="006A290E" w:rsidRPr="005A3707" w:rsidRDefault="006A290E" w:rsidP="006A290E">
      <w:pPr>
        <w:spacing w:after="0" w:line="240" w:lineRule="auto"/>
      </w:pPr>
    </w:p>
    <w:p w14:paraId="218E857A" w14:textId="77777777" w:rsidR="006A290E" w:rsidRPr="001561C2" w:rsidRDefault="006A290E" w:rsidP="006A290E">
      <w:pPr>
        <w:pStyle w:val="TOCHeading"/>
      </w:pPr>
      <w:bookmarkStart w:id="8" w:name="_Toc31220269"/>
      <w:bookmarkStart w:id="9" w:name="_Toc53768045"/>
      <w:r w:rsidRPr="001561C2">
        <w:t>Use and Usage Characterization</w:t>
      </w:r>
      <w:bookmarkEnd w:id="8"/>
      <w:bookmarkEnd w:id="9"/>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3673C841" w:rsidR="006A290E" w:rsidRPr="003516E7" w:rsidRDefault="006A290E" w:rsidP="006A290E">
      <w:pPr>
        <w:spacing w:after="0" w:line="240" w:lineRule="auto"/>
      </w:pPr>
      <w:r w:rsidRPr="003516E7">
        <w:t>Use data are based on registered product labels and include pesticide application information relevant to a treatment site (</w:t>
      </w:r>
      <w:r w:rsidRPr="003516E7">
        <w:rPr>
          <w:i/>
          <w:iCs/>
        </w:rPr>
        <w:t>e.g.</w:t>
      </w:r>
      <w:r w:rsidRPr="003516E7">
        <w:t>, an orchard). EPA determines the uses based on registered labels</w:t>
      </w:r>
      <w:r w:rsidR="003A3DC7">
        <w:t xml:space="preserve">, </w:t>
      </w:r>
      <w:bookmarkStart w:id="10" w:name="_Hlk52774140"/>
      <w:r w:rsidR="003A3DC7">
        <w:t>including</w:t>
      </w:r>
      <w:r w:rsidR="003A3DC7" w:rsidRPr="003516E7">
        <w:t xml:space="preserve"> </w:t>
      </w:r>
      <w:r w:rsidR="002E78A9" w:rsidRPr="00B67804">
        <w:t>any agreed upon changes to these labels from the technical registrants</w:t>
      </w:r>
      <w:bookmarkEnd w:id="10"/>
      <w:r w:rsidR="002E78A9">
        <w:t xml:space="preserve">, and </w:t>
      </w:r>
      <w:r w:rsidRPr="003516E7">
        <w:t>define</w:t>
      </w:r>
      <w:r w:rsidR="002E78A9">
        <w:t>s</w:t>
      </w:r>
      <w:r w:rsidRPr="003516E7">
        <w:t xml:space="preserve"> crop or non-crop sites to which a pesticide may be applied. Use data also describe the maximum application rates, method (</w:t>
      </w:r>
      <w:r w:rsidRPr="003516E7">
        <w:rPr>
          <w:i/>
        </w:rPr>
        <w:t>e.g.,</w:t>
      </w:r>
      <w:r w:rsidRPr="003516E7">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5B39D2E7" w:rsidR="006A290E" w:rsidRDefault="006A290E" w:rsidP="006A290E">
      <w:pPr>
        <w:spacing w:after="0" w:line="240" w:lineRule="auto"/>
      </w:pPr>
      <w:r w:rsidRPr="003516E7">
        <w:t xml:space="preserve">Usage data 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545CCF05" w14:textId="077ECA43" w:rsidR="00EC03E3" w:rsidRDefault="00EC03E3" w:rsidP="006A290E">
      <w:pPr>
        <w:spacing w:after="0" w:line="240" w:lineRule="auto"/>
      </w:pPr>
    </w:p>
    <w:p w14:paraId="26221ED8" w14:textId="77777777" w:rsidR="00EC03E3" w:rsidRPr="003516E7" w:rsidRDefault="00EC03E3" w:rsidP="006A290E">
      <w:pPr>
        <w:spacing w:after="0" w:line="240" w:lineRule="auto"/>
      </w:pPr>
    </w:p>
    <w:p w14:paraId="22E55251" w14:textId="1DF8574C" w:rsidR="006A290E" w:rsidRPr="003516E7" w:rsidRDefault="006A290E" w:rsidP="00EC03E3">
      <w:pPr>
        <w:pStyle w:val="Heading2"/>
        <w:spacing w:before="0"/>
      </w:pPr>
      <w:bookmarkStart w:id="11" w:name="_Toc31220270"/>
      <w:bookmarkStart w:id="12" w:name="_Toc53768046"/>
      <w:r w:rsidRPr="003516E7">
        <w:t>Use Data (as Defined on Registered Product Labels)</w:t>
      </w:r>
      <w:bookmarkEnd w:id="11"/>
      <w:bookmarkEnd w:id="12"/>
    </w:p>
    <w:p w14:paraId="5293B522" w14:textId="77777777" w:rsidR="006A290E" w:rsidRPr="003516E7" w:rsidRDefault="006A290E" w:rsidP="006A290E">
      <w:pPr>
        <w:keepNext/>
        <w:keepLines/>
        <w:spacing w:after="0" w:line="240" w:lineRule="auto"/>
      </w:pPr>
      <w:r w:rsidRPr="003516E7">
        <w:rPr>
          <w:i/>
          <w:color w:val="2E75B5"/>
        </w:rPr>
        <w:tab/>
      </w:r>
    </w:p>
    <w:p w14:paraId="7772B5C4" w14:textId="77777777" w:rsidR="0073644D" w:rsidRPr="00A64A36" w:rsidRDefault="006A290E" w:rsidP="00EC03E3">
      <w:pPr>
        <w:spacing w:after="120" w:line="240" w:lineRule="auto"/>
        <w:rPr>
          <w:highlight w:val="cyan"/>
        </w:rPr>
      </w:pPr>
      <w:r w:rsidRPr="003516E7">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r w:rsidR="00F21192">
        <w:t>A</w:t>
      </w:r>
      <w:r w:rsidR="00F21192" w:rsidRPr="00B67804">
        <w:t>trazine</w:t>
      </w:r>
      <w:r w:rsidR="009057CE" w:rsidRPr="00B67804">
        <w:t xml:space="preserve"> is currently registered on a variety of agricultural and non-agricultural use sites (</w:t>
      </w:r>
      <w:r w:rsidR="009057CE" w:rsidRPr="00B67804">
        <w:rPr>
          <w:b/>
          <w:bCs/>
        </w:rPr>
        <w:t>APPENDIX 1-</w:t>
      </w:r>
      <w:r w:rsidR="00414C8C" w:rsidRPr="00B67804">
        <w:rPr>
          <w:b/>
          <w:bCs/>
        </w:rPr>
        <w:t>1</w:t>
      </w:r>
      <w:r w:rsidR="009057CE" w:rsidRPr="00B67804">
        <w:t xml:space="preserve">). This BE assesses all currently registered labels and any agreed upon changes to these labels from the </w:t>
      </w:r>
      <w:r w:rsidR="006C1D6B" w:rsidRPr="00B67804">
        <w:t xml:space="preserve">technical </w:t>
      </w:r>
      <w:r w:rsidR="009057CE" w:rsidRPr="00B67804">
        <w:t>registrants</w:t>
      </w:r>
      <w:r w:rsidR="00031F9D" w:rsidRPr="00B67804">
        <w:t xml:space="preserve"> (for implementation on all formulated product labels)</w:t>
      </w:r>
      <w:r w:rsidR="009057CE" w:rsidRPr="00B67804">
        <w:t xml:space="preserve">. While the current labels may not reflect all the agreed upon changes, the </w:t>
      </w:r>
      <w:r w:rsidR="006C1D6B" w:rsidRPr="00B67804">
        <w:t xml:space="preserve">technical </w:t>
      </w:r>
      <w:r w:rsidR="009057CE" w:rsidRPr="00B67804">
        <w:t>registrants have agreed in the form of commitment letter</w:t>
      </w:r>
      <w:r w:rsidR="006D7DEC" w:rsidRPr="00B67804">
        <w:t>s</w:t>
      </w:r>
      <w:r w:rsidR="002A434C" w:rsidRPr="00B67804">
        <w:t xml:space="preserve"> (</w:t>
      </w:r>
      <w:r w:rsidR="009057CE" w:rsidRPr="00B67804">
        <w:t xml:space="preserve">see </w:t>
      </w:r>
      <w:r w:rsidR="009057CE" w:rsidRPr="00B67804">
        <w:rPr>
          <w:b/>
        </w:rPr>
        <w:t>APPENDIX 1-</w:t>
      </w:r>
      <w:r w:rsidR="00414C8C" w:rsidRPr="00B67804">
        <w:rPr>
          <w:b/>
        </w:rPr>
        <w:t>2</w:t>
      </w:r>
      <w:r w:rsidR="002A434C" w:rsidRPr="00B67804">
        <w:rPr>
          <w:bCs/>
        </w:rPr>
        <w:t>)</w:t>
      </w:r>
      <w:r w:rsidR="009057CE" w:rsidRPr="00B67804">
        <w:t xml:space="preserve"> to update the </w:t>
      </w:r>
      <w:r w:rsidR="00F21192" w:rsidRPr="00B67804">
        <w:t>atrazine</w:t>
      </w:r>
      <w:r w:rsidR="009057CE" w:rsidRPr="00B67804">
        <w:t xml:space="preserve"> </w:t>
      </w:r>
      <w:r w:rsidR="00031F9D" w:rsidRPr="00B67804">
        <w:t xml:space="preserve">formulated product </w:t>
      </w:r>
      <w:r w:rsidR="009057CE" w:rsidRPr="00B67804">
        <w:t>labels to be reflective of the</w:t>
      </w:r>
      <w:r w:rsidR="008F147B" w:rsidRPr="00B67804">
        <w:t>se</w:t>
      </w:r>
      <w:r w:rsidR="00414C8C" w:rsidRPr="00B67804">
        <w:t xml:space="preserve"> changes</w:t>
      </w:r>
      <w:r w:rsidR="009057CE" w:rsidRPr="00B67804">
        <w:t xml:space="preserve"> (</w:t>
      </w:r>
      <w:r w:rsidR="00414C8C" w:rsidRPr="00B67804">
        <w:t xml:space="preserve">uses summarized in </w:t>
      </w:r>
      <w:r w:rsidR="009057CE" w:rsidRPr="00B67804">
        <w:rPr>
          <w:b/>
        </w:rPr>
        <w:t>APPENDIX 1-</w:t>
      </w:r>
      <w:r w:rsidR="00414C8C" w:rsidRPr="00B67804">
        <w:rPr>
          <w:b/>
        </w:rPr>
        <w:t>3</w:t>
      </w:r>
      <w:r w:rsidR="009057CE" w:rsidRPr="00B67804">
        <w:t xml:space="preserve">). </w:t>
      </w:r>
      <w:r w:rsidR="00655632" w:rsidRPr="00B67804">
        <w:t xml:space="preserve">Major changes </w:t>
      </w:r>
      <w:r w:rsidR="005D651A">
        <w:t>to the use of atrazine that are included</w:t>
      </w:r>
      <w:r w:rsidR="00655632" w:rsidRPr="00B67804">
        <w:t xml:space="preserve"> in the commitment letters include restriction of applications to the contiguous United States </w:t>
      </w:r>
      <w:r w:rsidR="00CC0C45">
        <w:t>(ConUS)</w:t>
      </w:r>
      <w:r w:rsidR="00655632" w:rsidRPr="00B67804">
        <w:t xml:space="preserve"> only</w:t>
      </w:r>
      <w:r w:rsidR="00423D1C" w:rsidRPr="00B67804">
        <w:t>, removal of certain use patterns</w:t>
      </w:r>
      <w:r w:rsidR="00131878">
        <w:t xml:space="preserve"> (</w:t>
      </w:r>
      <w:r w:rsidR="00131878" w:rsidRPr="003A3DC7">
        <w:rPr>
          <w:i/>
          <w:iCs/>
        </w:rPr>
        <w:t>e.g.</w:t>
      </w:r>
      <w:r w:rsidR="00131878">
        <w:t>, forest trees)</w:t>
      </w:r>
      <w:r w:rsidR="00423D1C" w:rsidRPr="00B67804">
        <w:t xml:space="preserve">, </w:t>
      </w:r>
      <w:r w:rsidR="00655632" w:rsidRPr="00B67804">
        <w:t xml:space="preserve">and implementation of new buffers and </w:t>
      </w:r>
      <w:r w:rsidR="00D64951" w:rsidRPr="00B67804">
        <w:t xml:space="preserve">mandatory spray drift language (see </w:t>
      </w:r>
      <w:r w:rsidR="00D64951" w:rsidRPr="00B67804">
        <w:rPr>
          <w:b/>
          <w:bCs/>
        </w:rPr>
        <w:t>APPENDIX 1-2</w:t>
      </w:r>
      <w:r w:rsidR="00D64951" w:rsidRPr="00B67804">
        <w:t xml:space="preserve"> for specific details)</w:t>
      </w:r>
      <w:r w:rsidR="00655632" w:rsidRPr="00B67804">
        <w:t xml:space="preserve">. </w:t>
      </w:r>
      <w:r w:rsidR="0073644D">
        <w:t>EPA plans to formalize these changes through the appropriate processes prior to finalizing the BEs.</w:t>
      </w:r>
      <w:r w:rsidR="0073644D" w:rsidRPr="00A64A36">
        <w:rPr>
          <w:highlight w:val="cyan"/>
        </w:rPr>
        <w:t xml:space="preserve">  </w:t>
      </w:r>
    </w:p>
    <w:p w14:paraId="630C2036" w14:textId="77777777" w:rsidR="001A4210" w:rsidRDefault="009057CE" w:rsidP="00EC03E3">
      <w:pPr>
        <w:spacing w:after="120" w:line="240" w:lineRule="auto"/>
      </w:pPr>
      <w:r w:rsidRPr="00B67804">
        <w:t xml:space="preserve"> </w:t>
      </w:r>
    </w:p>
    <w:p w14:paraId="269AC1EB" w14:textId="57CC1B82" w:rsidR="006A290E" w:rsidRDefault="00F21192" w:rsidP="007041A1">
      <w:pPr>
        <w:spacing w:after="0" w:line="240" w:lineRule="auto"/>
        <w:rPr>
          <w:rFonts w:asciiTheme="minorHAnsi" w:hAnsiTheme="minorHAnsi" w:cs="Times New Roman"/>
        </w:rPr>
      </w:pPr>
      <w:r>
        <w:rPr>
          <w:rFonts w:cstheme="minorBidi"/>
        </w:rPr>
        <w:t>Atrazine</w:t>
      </w:r>
      <w:r w:rsidR="003516E7" w:rsidRPr="140762A8">
        <w:rPr>
          <w:rFonts w:cstheme="minorBidi"/>
        </w:rPr>
        <w:t xml:space="preserve"> is </w:t>
      </w:r>
      <w:r w:rsidR="003516E7">
        <w:t>one of the most widely used herbicides in North America</w:t>
      </w:r>
      <w:r w:rsidR="003516E7" w:rsidRPr="140762A8">
        <w:rPr>
          <w:rFonts w:cstheme="minorBidi"/>
        </w:rPr>
        <w:t xml:space="preserve">. It is a chlorotriazine herbicide registered in the U.S. to </w:t>
      </w:r>
      <w:r w:rsidR="00B67804" w:rsidRPr="00B67804">
        <w:rPr>
          <w:rFonts w:cstheme="minorBidi"/>
        </w:rPr>
        <w:t xml:space="preserve">control annual broadleaf and grass weeds primarily in corn, sorghum, and sugarcane. </w:t>
      </w:r>
      <w:r w:rsidR="005569CD" w:rsidRPr="005569CD">
        <w:rPr>
          <w:rFonts w:cstheme="minorBidi"/>
        </w:rPr>
        <w:t xml:space="preserve">Additionally, atrazine products are registered for use on wheat, guava, macadamia nuts, </w:t>
      </w:r>
      <w:r w:rsidR="005569CD">
        <w:rPr>
          <w:rFonts w:cstheme="minorBidi"/>
        </w:rPr>
        <w:lastRenderedPageBreak/>
        <w:t>soybeans</w:t>
      </w:r>
      <w:r w:rsidR="00891CEC">
        <w:rPr>
          <w:rFonts w:cstheme="minorBidi"/>
        </w:rPr>
        <w:t>,</w:t>
      </w:r>
      <w:r w:rsidR="00891CEC" w:rsidRPr="00891CEC">
        <w:t xml:space="preserve"> </w:t>
      </w:r>
      <w:r w:rsidR="00891CEC" w:rsidRPr="00891CEC">
        <w:rPr>
          <w:rFonts w:cstheme="minorBidi"/>
        </w:rPr>
        <w:t>fallow crop lands</w:t>
      </w:r>
      <w:r w:rsidR="005569CD" w:rsidRPr="005569CD">
        <w:rPr>
          <w:rFonts w:cstheme="minorBidi"/>
        </w:rPr>
        <w:t xml:space="preserve"> and for several non-agricultural use sites</w:t>
      </w:r>
      <w:r w:rsidR="005569CD">
        <w:rPr>
          <w:rFonts w:cstheme="minorBidi"/>
        </w:rPr>
        <w:t>.</w:t>
      </w:r>
      <w:r w:rsidR="003516E7">
        <w:t xml:space="preserve"> </w:t>
      </w:r>
      <w:r w:rsidR="00394C53">
        <w:t xml:space="preserve">The primary non-agricultural use of atrazine is turf for fairways and residential sites, including homes, daycare facilities, schools, playgrounds, parks, recreational areas, and sports fields. Additional non-agricultural uses include special local needs (SLN) uses of atrazine on conservation reserve program (CRP) land in Iowa and highway rights-of-way use in Oklahoma. </w:t>
      </w:r>
      <w:bookmarkStart w:id="13" w:name="_Hlk52215960"/>
      <w:r w:rsidR="00B67804">
        <w:rPr>
          <w:rFonts w:asciiTheme="minorHAnsi" w:hAnsiTheme="minorHAnsi"/>
        </w:rPr>
        <w:t>Atrazine</w:t>
      </w:r>
      <w:r w:rsidR="00B67804" w:rsidRPr="00BB345D">
        <w:rPr>
          <w:rFonts w:asciiTheme="minorHAnsi" w:hAnsiTheme="minorHAnsi"/>
        </w:rPr>
        <w:t xml:space="preserve"> can be applied as </w:t>
      </w:r>
      <w:r w:rsidR="00B67804">
        <w:rPr>
          <w:rFonts w:asciiTheme="minorHAnsi" w:hAnsiTheme="minorHAnsi"/>
        </w:rPr>
        <w:t>a liquid</w:t>
      </w:r>
      <w:r w:rsidR="00B67804" w:rsidRPr="00BB345D">
        <w:rPr>
          <w:rFonts w:asciiTheme="minorHAnsi" w:hAnsiTheme="minorHAnsi"/>
        </w:rPr>
        <w:t xml:space="preserve"> </w:t>
      </w:r>
      <w:r w:rsidR="005D651A">
        <w:rPr>
          <w:rFonts w:asciiTheme="minorHAnsi" w:hAnsiTheme="minorHAnsi"/>
        </w:rPr>
        <w:t>formulation</w:t>
      </w:r>
      <w:r w:rsidR="00B67804" w:rsidRPr="00BB345D">
        <w:rPr>
          <w:rFonts w:asciiTheme="minorHAnsi" w:hAnsiTheme="minorHAnsi"/>
        </w:rPr>
        <w:t xml:space="preserve"> </w:t>
      </w:r>
      <w:r w:rsidR="00B67804" w:rsidRPr="00E64F4E">
        <w:rPr>
          <w:rFonts w:asciiTheme="minorHAnsi" w:hAnsiTheme="minorHAnsi"/>
        </w:rPr>
        <w:t xml:space="preserve">for all crops as well as </w:t>
      </w:r>
      <w:r w:rsidR="005D651A">
        <w:rPr>
          <w:rFonts w:asciiTheme="minorHAnsi" w:hAnsiTheme="minorHAnsi"/>
        </w:rPr>
        <w:t xml:space="preserve">a </w:t>
      </w:r>
      <w:r w:rsidR="00B67804" w:rsidRPr="00E64F4E">
        <w:rPr>
          <w:rFonts w:asciiTheme="minorHAnsi" w:hAnsiTheme="minorHAnsi"/>
        </w:rPr>
        <w:t>granular</w:t>
      </w:r>
      <w:r w:rsidR="00B67804" w:rsidRPr="00BB345D">
        <w:rPr>
          <w:rFonts w:asciiTheme="minorHAnsi" w:hAnsiTheme="minorHAnsi"/>
        </w:rPr>
        <w:t xml:space="preserve"> </w:t>
      </w:r>
      <w:r w:rsidR="005D651A">
        <w:rPr>
          <w:rFonts w:asciiTheme="minorHAnsi" w:hAnsiTheme="minorHAnsi"/>
        </w:rPr>
        <w:t xml:space="preserve">formulation </w:t>
      </w:r>
      <w:r w:rsidR="00B67804" w:rsidRPr="00BB345D">
        <w:rPr>
          <w:rFonts w:asciiTheme="minorHAnsi" w:hAnsiTheme="minorHAnsi"/>
        </w:rPr>
        <w:t xml:space="preserve">for </w:t>
      </w:r>
      <w:r w:rsidR="00B67804">
        <w:rPr>
          <w:rFonts w:asciiTheme="minorHAnsi" w:hAnsiTheme="minorHAnsi"/>
        </w:rPr>
        <w:t>turf</w:t>
      </w:r>
      <w:r w:rsidR="00B67804" w:rsidRPr="00BB345D">
        <w:rPr>
          <w:rFonts w:asciiTheme="minorHAnsi" w:hAnsiTheme="minorHAnsi"/>
        </w:rPr>
        <w:t>.</w:t>
      </w:r>
      <w:r w:rsidR="00B67804">
        <w:rPr>
          <w:rFonts w:asciiTheme="minorHAnsi" w:hAnsiTheme="minorHAnsi"/>
        </w:rPr>
        <w:t xml:space="preserve"> </w:t>
      </w:r>
      <w:r w:rsidR="00B67804">
        <w:rPr>
          <w:rFonts w:asciiTheme="minorHAnsi" w:hAnsiTheme="minorHAnsi" w:cs="Times New Roman"/>
        </w:rPr>
        <w:t>Atrazine</w:t>
      </w:r>
      <w:r w:rsidR="00B67804" w:rsidRPr="00AC04D4">
        <w:rPr>
          <w:rFonts w:asciiTheme="minorHAnsi" w:hAnsiTheme="minorHAnsi" w:cs="Times New Roman"/>
        </w:rPr>
        <w:t xml:space="preserve"> </w:t>
      </w:r>
      <w:r w:rsidR="005569CD">
        <w:rPr>
          <w:rFonts w:asciiTheme="minorHAnsi" w:hAnsiTheme="minorHAnsi" w:cs="Times New Roman"/>
        </w:rPr>
        <w:t xml:space="preserve">may be applied by ground or aerial </w:t>
      </w:r>
      <w:r w:rsidR="00B67804" w:rsidRPr="00AC04D4">
        <w:rPr>
          <w:rFonts w:asciiTheme="minorHAnsi" w:hAnsiTheme="minorHAnsi" w:cs="Times New Roman"/>
        </w:rPr>
        <w:t>applications</w:t>
      </w:r>
      <w:r w:rsidR="005569CD">
        <w:rPr>
          <w:rFonts w:asciiTheme="minorHAnsi" w:hAnsiTheme="minorHAnsi" w:cs="Times New Roman"/>
        </w:rPr>
        <w:t>, which</w:t>
      </w:r>
      <w:r w:rsidR="00B67804" w:rsidRPr="00AC04D4">
        <w:rPr>
          <w:rFonts w:asciiTheme="minorHAnsi" w:hAnsiTheme="minorHAnsi" w:cs="Times New Roman"/>
        </w:rPr>
        <w:t xml:space="preserve"> may occur at different times throughout the year</w:t>
      </w:r>
      <w:r w:rsidR="005D651A">
        <w:rPr>
          <w:rFonts w:asciiTheme="minorHAnsi" w:hAnsiTheme="minorHAnsi" w:cs="Times New Roman"/>
        </w:rPr>
        <w:t>,</w:t>
      </w:r>
      <w:r w:rsidR="00B67804" w:rsidRPr="00AC04D4">
        <w:rPr>
          <w:rFonts w:asciiTheme="minorHAnsi" w:hAnsiTheme="minorHAnsi" w:cs="Times New Roman"/>
        </w:rPr>
        <w:t xml:space="preserve"> including multiple application</w:t>
      </w:r>
      <w:r w:rsidR="00B67804">
        <w:rPr>
          <w:rFonts w:asciiTheme="minorHAnsi" w:hAnsiTheme="minorHAnsi" w:cs="Times New Roman"/>
        </w:rPr>
        <w:t>s</w:t>
      </w:r>
      <w:r w:rsidR="00B67804" w:rsidRPr="00AC04D4">
        <w:rPr>
          <w:rFonts w:asciiTheme="minorHAnsi" w:hAnsiTheme="minorHAnsi" w:cs="Times New Roman"/>
        </w:rPr>
        <w:t xml:space="preserve"> to the same crop.</w:t>
      </w:r>
      <w:bookmarkStart w:id="14" w:name="_Hlk50641402"/>
      <w:bookmarkStart w:id="15" w:name="_Hlk50636698"/>
      <w:bookmarkStart w:id="16" w:name="_Hlk50641297"/>
      <w:bookmarkEnd w:id="13"/>
      <w:bookmarkEnd w:id="14"/>
      <w:bookmarkEnd w:id="15"/>
      <w:bookmarkEnd w:id="16"/>
    </w:p>
    <w:p w14:paraId="4C48397F" w14:textId="77777777" w:rsidR="007041A1" w:rsidRPr="00C4422B" w:rsidRDefault="007041A1" w:rsidP="007041A1">
      <w:pPr>
        <w:spacing w:after="0" w:line="240" w:lineRule="auto"/>
        <w:rPr>
          <w:highlight w:val="yellow"/>
        </w:rPr>
      </w:pPr>
    </w:p>
    <w:p w14:paraId="6C434A36" w14:textId="1816100D" w:rsidR="003516E7" w:rsidRDefault="00B67804" w:rsidP="009057CE">
      <w:pPr>
        <w:spacing w:after="0" w:line="240" w:lineRule="auto"/>
      </w:pPr>
      <w:r w:rsidRPr="00213C3C">
        <w:t xml:space="preserve">Current labels for atrazine include spray drift language that specifies a 66 ft aerial or ground buffer on the point of runoff to streams and a 200 ft aerial or ground buffer on lakes, reservoirs, or other impounded natural waterbodies. The </w:t>
      </w:r>
      <w:r w:rsidR="00131878">
        <w:t xml:space="preserve">technical </w:t>
      </w:r>
      <w:r w:rsidRPr="00213C3C">
        <w:t xml:space="preserve">registrant has committed to additional 15 ft ground and 150 ft aerial buffers on streams, rivers, estuarine/marine environments, and </w:t>
      </w:r>
      <w:r w:rsidR="005D651A">
        <w:t>listed</w:t>
      </w:r>
      <w:r w:rsidR="005D651A" w:rsidRPr="00213C3C">
        <w:t xml:space="preserve"> </w:t>
      </w:r>
      <w:r w:rsidRPr="00213C3C">
        <w:t>species habitats. This results in 81 ft ground and 216 ft aerial stream buffers, 200 ft ground and aerial buffers on ponds, and 15 ft ground and 150 ft aerial buffers</w:t>
      </w:r>
      <w:r>
        <w:t xml:space="preserve"> for the wetland (assuming </w:t>
      </w:r>
      <w:r w:rsidR="005D651A">
        <w:t xml:space="preserve">listed </w:t>
      </w:r>
      <w:r>
        <w:t xml:space="preserve">species habitat for this assessment). </w:t>
      </w:r>
      <w:r w:rsidR="003516E7">
        <w:t xml:space="preserve">In general, the single maximum </w:t>
      </w:r>
      <w:r w:rsidR="00F21192">
        <w:t>atrazine</w:t>
      </w:r>
      <w:r w:rsidR="0013056E">
        <w:t xml:space="preserve"> </w:t>
      </w:r>
      <w:r w:rsidR="003516E7">
        <w:t xml:space="preserve">application rates do not exceed 4 lb a.i./A nationwide for flowable formulations. </w:t>
      </w:r>
    </w:p>
    <w:p w14:paraId="21726F88" w14:textId="77777777" w:rsidR="00EC03E3" w:rsidRDefault="00EC03E3" w:rsidP="009057CE">
      <w:pPr>
        <w:spacing w:after="0" w:line="240" w:lineRule="auto"/>
      </w:pPr>
    </w:p>
    <w:p w14:paraId="302C849E" w14:textId="77777777" w:rsidR="006A290E" w:rsidRPr="0081188A" w:rsidRDefault="006A290E" w:rsidP="00EC03E3">
      <w:pPr>
        <w:pStyle w:val="Heading2"/>
        <w:spacing w:before="0"/>
      </w:pPr>
      <w:bookmarkStart w:id="17" w:name="_Toc31220271"/>
      <w:bookmarkStart w:id="18" w:name="_Toc53768047"/>
      <w:r w:rsidRPr="0081188A">
        <w:t>Usage Data</w:t>
      </w:r>
      <w:bookmarkEnd w:id="17"/>
      <w:bookmarkEnd w:id="18"/>
      <w:r w:rsidRPr="0081188A">
        <w:t xml:space="preserve"> </w:t>
      </w:r>
    </w:p>
    <w:p w14:paraId="36E86C07" w14:textId="77777777" w:rsidR="006A290E" w:rsidRPr="001561C2" w:rsidRDefault="006A290E" w:rsidP="006A290E">
      <w:pPr>
        <w:spacing w:after="0" w:line="240" w:lineRule="auto"/>
      </w:pPr>
    </w:p>
    <w:p w14:paraId="6C78C815" w14:textId="3DEDB3A8" w:rsidR="00050A4F" w:rsidRPr="00CF3DD9" w:rsidRDefault="003B7061" w:rsidP="00050A4F">
      <w:pPr>
        <w:spacing w:line="240" w:lineRule="auto"/>
        <w:rPr>
          <w:b/>
          <w:bCs/>
        </w:rPr>
      </w:pPr>
      <w:bookmarkStart w:id="19" w:name="_Hlk50551219"/>
      <w:r w:rsidRPr="003516E7">
        <w:t xml:space="preserve">Based on usage data compiled by EPA’s Office of Pesticide Program’s Biological and Economic Analysis Division (BEAD), </w:t>
      </w:r>
      <w:bookmarkStart w:id="20" w:name="_Hlk52215544"/>
      <w:r>
        <w:t>d</w:t>
      </w:r>
      <w:r w:rsidRPr="003B7061">
        <w:t>uring the most recent five years of available survey data (2013-2017),</w:t>
      </w:r>
      <w:bookmarkStart w:id="21" w:name="_Hlk52212092"/>
      <w:r w:rsidRPr="003B7061">
        <w:t xml:space="preserve"> an annual average of 72,000,000 pounds of atrazine were applied to an average of 75,000,000 acres of agricultural crops. </w:t>
      </w:r>
      <w:bookmarkEnd w:id="21"/>
      <w:r w:rsidR="00F51C71">
        <w:t>T</w:t>
      </w:r>
      <w:r w:rsidRPr="003B7061">
        <w:t>he</w:t>
      </w:r>
      <w:r>
        <w:t xml:space="preserve"> </w:t>
      </w:r>
      <w:r w:rsidRPr="003B7061">
        <w:t>majority of atrazine is applied to corn</w:t>
      </w:r>
      <w:r w:rsidR="00F51C71">
        <w:t>,</w:t>
      </w:r>
      <w:r w:rsidRPr="003B7061">
        <w:t xml:space="preserve"> both in terms of pounds a.i. applied (87%</w:t>
      </w:r>
      <w:r w:rsidR="00F51C71">
        <w:t xml:space="preserve"> of total; 62 million lbs applied annually</w:t>
      </w:r>
      <w:r w:rsidRPr="003B7061">
        <w:t xml:space="preserve">) and acres treated (88%). </w:t>
      </w:r>
      <w:r w:rsidR="00F51C71">
        <w:t>Sorghum and sugarcane make up the majority of the remaining annual usage.</w:t>
      </w:r>
      <w:r w:rsidRPr="003B7061">
        <w:t xml:space="preserve"> </w:t>
      </w:r>
      <w:r w:rsidR="00050A4F">
        <w:t xml:space="preserve">Annual use of atrazine on sorghum is </w:t>
      </w:r>
      <w:r>
        <w:t>approximately 6.4</w:t>
      </w:r>
      <w:r w:rsidR="00050A4F">
        <w:t xml:space="preserve"> million pounds; annual sugarcane use is estimated </w:t>
      </w:r>
      <w:r>
        <w:t xml:space="preserve">at 1.7 </w:t>
      </w:r>
      <w:r w:rsidR="00050A4F">
        <w:t>million pounds; and annual sweet corn use is estimated around 300,000 pounds. Total usage has remained relatively constant over the past decade. Use rates per acre have decreased, while total acres treated with atrazine have remained relatively stabl</w:t>
      </w:r>
      <w:r>
        <w:t>e</w:t>
      </w:r>
      <w:r w:rsidR="00050A4F">
        <w:t xml:space="preserve"> </w:t>
      </w:r>
      <w:r w:rsidRPr="6D50E8B1">
        <w:rPr>
          <w:b/>
          <w:bCs/>
        </w:rPr>
        <w:t>(APPENDIX 1-4</w:t>
      </w:r>
      <w:r>
        <w:t>)</w:t>
      </w:r>
      <w:r w:rsidR="00CF3DD9">
        <w:rPr>
          <w:b/>
          <w:bCs/>
        </w:rPr>
        <w:t>.</w:t>
      </w:r>
    </w:p>
    <w:p w14:paraId="1501D29E" w14:textId="3E2D7FB6" w:rsidR="00E74413" w:rsidRDefault="003B7061" w:rsidP="00EC03E3">
      <w:pPr>
        <w:spacing w:after="0" w:line="240" w:lineRule="auto"/>
      </w:pPr>
      <w:r>
        <w:rPr>
          <w:lang w:val="en-CA"/>
        </w:rPr>
        <w:t>Most recent non-agricultural usage data from 2013 – 2017 shows that</w:t>
      </w:r>
      <w:r w:rsidR="00050A4F">
        <w:t xml:space="preserve"> for non-agricultural sites, thousands of pounds of atrazine were applied to non-agricultural sites</w:t>
      </w:r>
      <w:r w:rsidR="00CF3DD9">
        <w:t xml:space="preserve"> with average annual applications of 300,000 pounds to</w:t>
      </w:r>
      <w:r w:rsidR="00050A4F">
        <w:t xml:space="preserve"> residential turfgrass</w:t>
      </w:r>
      <w:r w:rsidR="00CF3DD9">
        <w:t xml:space="preserve">, 200,000 pounds to </w:t>
      </w:r>
      <w:r w:rsidR="00050A4F">
        <w:t>non-residential turfgrass</w:t>
      </w:r>
      <w:r w:rsidR="00CF3DD9">
        <w:t xml:space="preserve"> (institutional facilities and sod farms) and </w:t>
      </w:r>
      <w:r w:rsidR="00891CEC">
        <w:t>7</w:t>
      </w:r>
      <w:r w:rsidR="00CF3DD9">
        <w:t>,000 pounds to CRP land</w:t>
      </w:r>
      <w:r w:rsidR="00050A4F">
        <w:t xml:space="preserve"> </w:t>
      </w:r>
      <w:r w:rsidR="002F19C7" w:rsidRPr="6D50E8B1">
        <w:rPr>
          <w:b/>
          <w:bCs/>
        </w:rPr>
        <w:t>(</w:t>
      </w:r>
      <w:r w:rsidR="00213AAE" w:rsidRPr="6D50E8B1">
        <w:rPr>
          <w:b/>
          <w:bCs/>
        </w:rPr>
        <w:t>APPENDIX 1-4</w:t>
      </w:r>
      <w:r w:rsidR="00E74413">
        <w:t xml:space="preserve">).  </w:t>
      </w:r>
    </w:p>
    <w:p w14:paraId="728931A5" w14:textId="77777777" w:rsidR="00EC03E3" w:rsidRPr="009B4E42" w:rsidRDefault="00EC03E3" w:rsidP="00EC03E3">
      <w:pPr>
        <w:spacing w:after="0" w:line="240" w:lineRule="auto"/>
      </w:pPr>
    </w:p>
    <w:bookmarkEnd w:id="20"/>
    <w:p w14:paraId="7A4BAE97" w14:textId="2F98FB8B" w:rsidR="006A290E" w:rsidRPr="00C4422B" w:rsidRDefault="006A290E" w:rsidP="006A290E">
      <w:pPr>
        <w:spacing w:after="0" w:line="240" w:lineRule="auto"/>
        <w:rPr>
          <w:highlight w:val="yellow"/>
        </w:rPr>
      </w:pPr>
      <w:r w:rsidRPr="00C4422B">
        <w:rPr>
          <w:highlight w:val="yellow"/>
        </w:rPr>
        <w:t xml:space="preserve"> </w:t>
      </w:r>
      <w:bookmarkEnd w:id="19"/>
    </w:p>
    <w:p w14:paraId="4475CA78" w14:textId="5DD2215C" w:rsidR="006A290E" w:rsidRDefault="006A290E" w:rsidP="000E75C7">
      <w:pPr>
        <w:pStyle w:val="Heading1"/>
      </w:pPr>
      <w:bookmarkStart w:id="22" w:name="_Toc31220273"/>
      <w:bookmarkStart w:id="23" w:name="_Toc53768048"/>
      <w:r w:rsidRPr="00DA340C">
        <w:t>Overview</w:t>
      </w:r>
      <w:bookmarkEnd w:id="22"/>
      <w:r w:rsidRPr="00DA340C">
        <w:t xml:space="preserve"> of Environmental Fate</w:t>
      </w:r>
      <w:bookmarkEnd w:id="23"/>
    </w:p>
    <w:p w14:paraId="75E541EB" w14:textId="77777777" w:rsidR="006A290E" w:rsidRPr="00BB3BB8" w:rsidRDefault="006A290E" w:rsidP="000E75C7">
      <w:pPr>
        <w:keepNext/>
        <w:keepLines/>
        <w:spacing w:after="0" w:line="240" w:lineRule="auto"/>
      </w:pPr>
    </w:p>
    <w:p w14:paraId="4ED929B1" w14:textId="014BD3E7" w:rsidR="00CB5542" w:rsidRDefault="00D64951" w:rsidP="00BE105A">
      <w:pPr>
        <w:spacing w:after="0" w:line="240" w:lineRule="auto"/>
        <w:rPr>
          <w:rFonts w:asciiTheme="minorHAnsi" w:hAnsiTheme="minorHAnsi"/>
        </w:rPr>
      </w:pPr>
      <w:bookmarkStart w:id="24" w:name="_Hlk52216009"/>
      <w:r w:rsidRPr="00D64951">
        <w:t xml:space="preserve">The major transport routes off the treated area for </w:t>
      </w:r>
      <w:r w:rsidR="00F21192">
        <w:t>atrazine</w:t>
      </w:r>
      <w:r w:rsidRPr="00D64951">
        <w:t xml:space="preserve"> include runoff and spray drift.</w:t>
      </w:r>
      <w:r>
        <w:t xml:space="preserve"> </w:t>
      </w:r>
      <w:r w:rsidR="004C71A0">
        <w:t xml:space="preserve">The main routes of dissipation for </w:t>
      </w:r>
      <w:r w:rsidR="00F21192">
        <w:t>atrazine</w:t>
      </w:r>
      <w:r w:rsidR="004C71A0">
        <w:t xml:space="preserve"> are microbial degradation under aerobic conditions</w:t>
      </w:r>
      <w:r w:rsidR="00B36467">
        <w:t xml:space="preserve"> in water and soil</w:t>
      </w:r>
      <w:r w:rsidR="004C71A0">
        <w:t xml:space="preserve">, runoff, and leaching. Because of its persistence and mobility, </w:t>
      </w:r>
      <w:r w:rsidR="00F21192">
        <w:t>atrazine</w:t>
      </w:r>
      <w:r w:rsidR="004C71A0">
        <w:t xml:space="preserve"> can move into surface and ground water. </w:t>
      </w:r>
      <w:r w:rsidR="00F21192">
        <w:t>Atrazine</w:t>
      </w:r>
      <w:r w:rsidR="004C71A0">
        <w:t xml:space="preserve"> has a low vapor pressure and Henry’s Law Constant, suggesting low potential for volatilization.</w:t>
      </w:r>
      <w:r w:rsidR="00BE105A" w:rsidRPr="00BE105A">
        <w:rPr>
          <w:color w:val="000000" w:themeColor="text1"/>
        </w:rPr>
        <w:t xml:space="preserve"> </w:t>
      </w:r>
      <w:r w:rsidR="00F21192">
        <w:rPr>
          <w:color w:val="000000" w:themeColor="text1"/>
        </w:rPr>
        <w:t>Atrazine</w:t>
      </w:r>
      <w:r w:rsidR="00BE105A" w:rsidRPr="009B4E42">
        <w:rPr>
          <w:color w:val="000000" w:themeColor="text1"/>
        </w:rPr>
        <w:t xml:space="preserve"> is </w:t>
      </w:r>
      <w:r w:rsidR="00CB5542">
        <w:rPr>
          <w:color w:val="000000" w:themeColor="text1"/>
        </w:rPr>
        <w:t>high</w:t>
      </w:r>
      <w:r w:rsidR="00CB5542" w:rsidRPr="009B4E42">
        <w:rPr>
          <w:color w:val="000000" w:themeColor="text1"/>
        </w:rPr>
        <w:t xml:space="preserve">ly </w:t>
      </w:r>
      <w:r w:rsidR="00BE105A" w:rsidRPr="009B4E42">
        <w:rPr>
          <w:color w:val="000000" w:themeColor="text1"/>
        </w:rPr>
        <w:t xml:space="preserve">soluble in water with </w:t>
      </w:r>
      <w:r w:rsidR="00CB5542">
        <w:rPr>
          <w:color w:val="000000" w:themeColor="text1"/>
        </w:rPr>
        <w:t xml:space="preserve">a </w:t>
      </w:r>
      <w:r w:rsidR="00BE105A" w:rsidRPr="009B4E42">
        <w:rPr>
          <w:color w:val="000000" w:themeColor="text1"/>
        </w:rPr>
        <w:t xml:space="preserve">reported aqueous solubility value </w:t>
      </w:r>
      <w:r w:rsidR="00CB5542">
        <w:rPr>
          <w:color w:val="000000" w:themeColor="text1"/>
        </w:rPr>
        <w:t>of 33</w:t>
      </w:r>
      <w:r w:rsidR="00BE105A" w:rsidRPr="009B4E42">
        <w:rPr>
          <w:color w:val="000000" w:themeColor="text1"/>
        </w:rPr>
        <w:t xml:space="preserve"> mg/L at 20-25</w:t>
      </w:r>
      <w:r w:rsidR="00BE105A" w:rsidRPr="009B4E42">
        <w:rPr>
          <w:color w:val="000000" w:themeColor="text1"/>
          <w:vertAlign w:val="superscript"/>
        </w:rPr>
        <w:t>o</w:t>
      </w:r>
      <w:r w:rsidR="00BE105A" w:rsidRPr="009B4E42">
        <w:rPr>
          <w:color w:val="000000" w:themeColor="text1"/>
        </w:rPr>
        <w:t>C.</w:t>
      </w:r>
      <w:r w:rsidR="00BE105A" w:rsidRPr="009B4E42">
        <w:rPr>
          <w:lang w:val="en-CA"/>
        </w:rPr>
        <w:t xml:space="preserve"> </w:t>
      </w:r>
      <w:r w:rsidR="00BE105A" w:rsidRPr="009B4E42">
        <w:rPr>
          <w:color w:val="000000" w:themeColor="text1"/>
        </w:rPr>
        <w:t xml:space="preserve">Bioaccumulation of </w:t>
      </w:r>
      <w:r w:rsidR="00F21192">
        <w:rPr>
          <w:color w:val="000000" w:themeColor="text1"/>
        </w:rPr>
        <w:t>atrazine</w:t>
      </w:r>
      <w:r w:rsidR="00BE105A" w:rsidRPr="009B4E42">
        <w:rPr>
          <w:color w:val="000000" w:themeColor="text1"/>
        </w:rPr>
        <w:t xml:space="preserve"> is expected to be low due to a low octanol water partitioning coefficient (K</w:t>
      </w:r>
      <w:r w:rsidR="00BE105A" w:rsidRPr="009B4E42">
        <w:rPr>
          <w:color w:val="000000" w:themeColor="text1"/>
          <w:vertAlign w:val="subscript"/>
        </w:rPr>
        <w:t xml:space="preserve">ow </w:t>
      </w:r>
      <w:r w:rsidR="00BE105A" w:rsidRPr="009B4E42">
        <w:rPr>
          <w:color w:val="000000" w:themeColor="text1"/>
        </w:rPr>
        <w:t xml:space="preserve">= </w:t>
      </w:r>
      <w:r w:rsidR="00CB5542">
        <w:rPr>
          <w:color w:val="000000" w:themeColor="text1"/>
        </w:rPr>
        <w:t>501</w:t>
      </w:r>
      <w:r w:rsidR="00BE105A" w:rsidRPr="009B4E42">
        <w:rPr>
          <w:color w:val="000000" w:themeColor="text1"/>
        </w:rPr>
        <w:t xml:space="preserve">) and low bioconcentration factors (BCF). Soil sorption coefficients for </w:t>
      </w:r>
      <w:r w:rsidR="00F21192">
        <w:rPr>
          <w:color w:val="000000" w:themeColor="text1"/>
        </w:rPr>
        <w:t>atrazine</w:t>
      </w:r>
      <w:r w:rsidR="00BE105A" w:rsidRPr="009B4E42">
        <w:rPr>
          <w:color w:val="000000" w:themeColor="text1"/>
        </w:rPr>
        <w:t xml:space="preserve"> (K</w:t>
      </w:r>
      <w:r w:rsidR="00BE105A" w:rsidRPr="009B4E42">
        <w:rPr>
          <w:color w:val="000000" w:themeColor="text1"/>
          <w:vertAlign w:val="subscript"/>
        </w:rPr>
        <w:t>F</w:t>
      </w:r>
      <w:r w:rsidR="00BE105A" w:rsidRPr="009B4E42">
        <w:rPr>
          <w:color w:val="000000" w:themeColor="text1"/>
        </w:rPr>
        <w:t xml:space="preserve">) </w:t>
      </w:r>
      <w:r w:rsidR="00CB5542">
        <w:rPr>
          <w:rFonts w:asciiTheme="minorHAnsi" w:hAnsiTheme="minorHAnsi" w:cstheme="minorHAnsi"/>
        </w:rPr>
        <w:t>range from</w:t>
      </w:r>
      <w:r w:rsidR="00CB5542" w:rsidRPr="001C0E49">
        <w:rPr>
          <w:rFonts w:asciiTheme="minorHAnsi" w:hAnsiTheme="minorHAnsi" w:cstheme="minorHAnsi"/>
        </w:rPr>
        <w:t xml:space="preserve"> 0.203-2.71</w:t>
      </w:r>
      <w:r w:rsidR="00CB5542">
        <w:rPr>
          <w:rFonts w:asciiTheme="minorHAnsi" w:hAnsiTheme="minorHAnsi" w:cstheme="minorHAnsi"/>
        </w:rPr>
        <w:t xml:space="preserve"> mL/g</w:t>
      </w:r>
      <w:r w:rsidR="00CB5542" w:rsidRPr="001C0E49">
        <w:rPr>
          <w:rFonts w:asciiTheme="minorHAnsi" w:hAnsiTheme="minorHAnsi" w:cstheme="minorHAnsi"/>
        </w:rPr>
        <w:t xml:space="preserve"> </w:t>
      </w:r>
      <w:r w:rsidR="00CB5542">
        <w:rPr>
          <w:rFonts w:asciiTheme="minorHAnsi" w:hAnsiTheme="minorHAnsi" w:cstheme="minorHAnsi"/>
        </w:rPr>
        <w:t>(</w:t>
      </w:r>
      <w:r w:rsidR="00CB5542" w:rsidRPr="009B4E42">
        <w:rPr>
          <w:vertAlign w:val="superscript"/>
        </w:rPr>
        <w:t>1</w:t>
      </w:r>
      <w:r w:rsidR="00CB5542" w:rsidRPr="009B4E42">
        <w:t>/</w:t>
      </w:r>
      <w:r w:rsidR="00CB5542" w:rsidRPr="009B4E42">
        <w:rPr>
          <w:vertAlign w:val="subscript"/>
        </w:rPr>
        <w:t>n</w:t>
      </w:r>
      <w:r w:rsidR="00CB5542" w:rsidRPr="009B4E42">
        <w:t>=</w:t>
      </w:r>
      <w:r w:rsidR="00CB5542" w:rsidRPr="001C0E49">
        <w:rPr>
          <w:rFonts w:asciiTheme="minorHAnsi" w:hAnsiTheme="minorHAnsi" w:cstheme="minorHAnsi"/>
        </w:rPr>
        <w:t>0.89-0.94</w:t>
      </w:r>
      <w:r w:rsidR="00CB5542">
        <w:rPr>
          <w:rFonts w:asciiTheme="minorHAnsi" w:hAnsiTheme="minorHAnsi" w:cstheme="minorHAnsi"/>
        </w:rPr>
        <w:t>)</w:t>
      </w:r>
      <w:r w:rsidR="00CB5542" w:rsidRPr="001C0E49">
        <w:rPr>
          <w:rFonts w:asciiTheme="minorHAnsi" w:hAnsiTheme="minorHAnsi" w:cstheme="minorHAnsi"/>
        </w:rPr>
        <w:t>; average Koc= 75</w:t>
      </w:r>
      <w:r w:rsidR="00CB5542">
        <w:rPr>
          <w:rFonts w:asciiTheme="minorHAnsi" w:hAnsiTheme="minorHAnsi" w:cstheme="minorHAnsi"/>
        </w:rPr>
        <w:t xml:space="preserve"> mL/g</w:t>
      </w:r>
      <w:r w:rsidR="00CB5542">
        <w:rPr>
          <w:rFonts w:asciiTheme="minorHAnsi" w:hAnsiTheme="minorHAnsi" w:cstheme="minorHAnsi"/>
          <w:vertAlign w:val="subscript"/>
        </w:rPr>
        <w:t>OC</w:t>
      </w:r>
      <w:r w:rsidR="00357792">
        <w:rPr>
          <w:rFonts w:asciiTheme="minorHAnsi" w:hAnsiTheme="minorHAnsi" w:cstheme="minorHAnsi"/>
        </w:rPr>
        <w:t xml:space="preserve"> </w:t>
      </w:r>
      <w:r w:rsidR="00CB5542" w:rsidRPr="001C0E49">
        <w:rPr>
          <w:rFonts w:asciiTheme="minorHAnsi" w:hAnsiTheme="minorHAnsi" w:cstheme="minorHAnsi"/>
        </w:rPr>
        <w:t>(</w:t>
      </w:r>
      <w:r w:rsidR="00CB5542" w:rsidRPr="001C0E49">
        <w:rPr>
          <w:rFonts w:asciiTheme="minorHAnsi" w:hAnsiTheme="minorHAnsi" w:cstheme="minorHAnsi"/>
          <w:color w:val="000000" w:themeColor="text1"/>
        </w:rPr>
        <w:t>MRID 41257901</w:t>
      </w:r>
      <w:r w:rsidR="00CB5542" w:rsidRPr="001C0E49">
        <w:rPr>
          <w:rFonts w:asciiTheme="minorHAnsi" w:hAnsiTheme="minorHAnsi" w:cstheme="minorHAnsi"/>
        </w:rPr>
        <w:t>)</w:t>
      </w:r>
      <w:r w:rsidR="00BE105A" w:rsidRPr="00BE105A">
        <w:t xml:space="preserve">. Information on leaching and adsorption/desorption indicate that </w:t>
      </w:r>
      <w:r w:rsidR="00F21192">
        <w:t>atrazine</w:t>
      </w:r>
      <w:r w:rsidR="00BE105A" w:rsidRPr="00BE105A">
        <w:t xml:space="preserve"> is considered moderately mobile according to </w:t>
      </w:r>
      <w:r w:rsidR="00BE105A" w:rsidRPr="00BE105A">
        <w:lastRenderedPageBreak/>
        <w:t>the Food and Agricultural Organization (FAO) mobility classification system</w:t>
      </w:r>
      <w:r w:rsidR="00BE105A" w:rsidRPr="00BE105A">
        <w:rPr>
          <w:rStyle w:val="FootnoteReference"/>
        </w:rPr>
        <w:footnoteReference w:id="4"/>
      </w:r>
      <w:r w:rsidR="00BE105A" w:rsidRPr="00BE105A">
        <w:t xml:space="preserve">. </w:t>
      </w:r>
      <w:r w:rsidR="00BE105A" w:rsidRPr="00BE105A">
        <w:rPr>
          <w:rFonts w:asciiTheme="minorHAnsi" w:hAnsiTheme="minorHAnsi"/>
        </w:rPr>
        <w:t xml:space="preserve">Additional details on the fate of </w:t>
      </w:r>
      <w:r w:rsidR="00F21192">
        <w:rPr>
          <w:rFonts w:asciiTheme="minorHAnsi" w:hAnsiTheme="minorHAnsi"/>
        </w:rPr>
        <w:t>atrazine</w:t>
      </w:r>
      <w:r w:rsidR="00BE105A" w:rsidRPr="00BE105A">
        <w:rPr>
          <w:rFonts w:asciiTheme="minorHAnsi" w:hAnsiTheme="minorHAnsi"/>
        </w:rPr>
        <w:t xml:space="preserve"> are provided in </w:t>
      </w:r>
      <w:r w:rsidR="00BE105A" w:rsidRPr="00BE105A">
        <w:rPr>
          <w:rFonts w:asciiTheme="minorHAnsi" w:hAnsiTheme="minorHAnsi"/>
          <w:b/>
        </w:rPr>
        <w:t>Chapter 3</w:t>
      </w:r>
      <w:r w:rsidR="00BE105A" w:rsidRPr="00BE105A">
        <w:rPr>
          <w:rFonts w:asciiTheme="minorHAnsi" w:hAnsiTheme="minorHAnsi"/>
        </w:rPr>
        <w:t xml:space="preserve"> of the Biological Evaluation.</w:t>
      </w:r>
    </w:p>
    <w:p w14:paraId="550D01FC" w14:textId="77777777" w:rsidR="00EC03E3" w:rsidRPr="00BE105A" w:rsidRDefault="00EC03E3" w:rsidP="00BE105A">
      <w:pPr>
        <w:spacing w:after="0" w:line="240" w:lineRule="auto"/>
        <w:rPr>
          <w:rFonts w:asciiTheme="minorHAnsi" w:hAnsiTheme="minorHAnsi"/>
        </w:rPr>
      </w:pPr>
    </w:p>
    <w:bookmarkEnd w:id="24"/>
    <w:p w14:paraId="0DFAA4FD" w14:textId="77777777" w:rsidR="004C71A0" w:rsidRPr="004F3E09" w:rsidRDefault="004C71A0" w:rsidP="006A290E">
      <w:pPr>
        <w:spacing w:after="0" w:line="240" w:lineRule="auto"/>
      </w:pPr>
    </w:p>
    <w:p w14:paraId="40864BD6" w14:textId="77777777" w:rsidR="006A290E" w:rsidRPr="004F3E09" w:rsidRDefault="006A290E" w:rsidP="006A290E">
      <w:pPr>
        <w:pStyle w:val="Heading1"/>
      </w:pPr>
      <w:bookmarkStart w:id="25" w:name="_Toc31220274"/>
      <w:bookmarkStart w:id="26" w:name="_Toc53768049"/>
      <w:r w:rsidRPr="004F3E09">
        <w:t>Residue of Concern</w:t>
      </w:r>
      <w:bookmarkEnd w:id="25"/>
      <w:bookmarkEnd w:id="26"/>
      <w:r w:rsidRPr="004F3E09">
        <w:t xml:space="preserve"> </w:t>
      </w:r>
    </w:p>
    <w:p w14:paraId="7B18208A" w14:textId="77777777" w:rsidR="006A290E" w:rsidRPr="00C4422B" w:rsidRDefault="006A290E" w:rsidP="006A290E">
      <w:pPr>
        <w:keepNext/>
        <w:spacing w:after="0" w:line="240" w:lineRule="auto"/>
        <w:rPr>
          <w:highlight w:val="yellow"/>
        </w:rPr>
      </w:pPr>
    </w:p>
    <w:p w14:paraId="0715247F" w14:textId="6507D1EC" w:rsidR="00A909F1" w:rsidRDefault="00A909F1" w:rsidP="00F03815">
      <w:pPr>
        <w:spacing w:after="0" w:line="240" w:lineRule="auto"/>
      </w:pPr>
      <w:r w:rsidRPr="009B4E42">
        <w:t xml:space="preserve">Environmental fate data indicate that </w:t>
      </w:r>
      <w:r w:rsidR="00D7017B">
        <w:t>d</w:t>
      </w:r>
      <w:r w:rsidR="00D7017B" w:rsidRPr="00214801">
        <w:rPr>
          <w:rFonts w:cstheme="minorHAnsi"/>
        </w:rPr>
        <w:t>eethylatrazine (DEA)</w:t>
      </w:r>
      <w:r w:rsidR="00D7017B">
        <w:rPr>
          <w:rFonts w:cstheme="minorHAnsi"/>
        </w:rPr>
        <w:t>,</w:t>
      </w:r>
      <w:r w:rsidR="00891CEC" w:rsidRPr="00891CEC">
        <w:t xml:space="preserve"> </w:t>
      </w:r>
      <w:r w:rsidR="00891CEC">
        <w:rPr>
          <w:rFonts w:cstheme="minorHAnsi"/>
        </w:rPr>
        <w:t>d</w:t>
      </w:r>
      <w:r w:rsidR="00891CEC" w:rsidRPr="00891CEC">
        <w:rPr>
          <w:rFonts w:cstheme="minorHAnsi"/>
        </w:rPr>
        <w:t>iadealkylatrazine</w:t>
      </w:r>
      <w:r w:rsidR="00D7017B" w:rsidRPr="00D7017B">
        <w:t xml:space="preserve"> (DACT)</w:t>
      </w:r>
      <w:r w:rsidRPr="009B4E42">
        <w:rPr>
          <w:color w:val="000000" w:themeColor="text1"/>
        </w:rPr>
        <w:t xml:space="preserve"> and hydroxy</w:t>
      </w:r>
      <w:r w:rsidR="00F21192">
        <w:rPr>
          <w:color w:val="000000" w:themeColor="text1"/>
        </w:rPr>
        <w:t>atrazine</w:t>
      </w:r>
      <w:r w:rsidRPr="009B4E42">
        <w:rPr>
          <w:color w:val="000000" w:themeColor="text1"/>
        </w:rPr>
        <w:t xml:space="preserve"> (H</w:t>
      </w:r>
      <w:r w:rsidR="00D7017B">
        <w:rPr>
          <w:color w:val="000000" w:themeColor="text1"/>
        </w:rPr>
        <w:t>A</w:t>
      </w:r>
      <w:r w:rsidRPr="009B4E42">
        <w:rPr>
          <w:color w:val="000000" w:themeColor="text1"/>
        </w:rPr>
        <w:t xml:space="preserve">) are the major </w:t>
      </w:r>
      <w:r w:rsidR="009E3EFF">
        <w:rPr>
          <w:color w:val="000000" w:themeColor="text1"/>
        </w:rPr>
        <w:t>transformation products</w:t>
      </w:r>
      <w:r w:rsidRPr="009B4E42">
        <w:rPr>
          <w:color w:val="000000" w:themeColor="text1"/>
        </w:rPr>
        <w:t xml:space="preserve"> of </w:t>
      </w:r>
      <w:r w:rsidR="00F21192">
        <w:rPr>
          <w:color w:val="000000" w:themeColor="text1"/>
        </w:rPr>
        <w:t>atrazine</w:t>
      </w:r>
      <w:r w:rsidRPr="009B4E42">
        <w:rPr>
          <w:color w:val="000000" w:themeColor="text1"/>
        </w:rPr>
        <w:t xml:space="preserve"> </w:t>
      </w:r>
      <w:r w:rsidRPr="009B4E42">
        <w:t>(</w:t>
      </w:r>
      <w:r w:rsidRPr="009B4E42">
        <w:rPr>
          <w:color w:val="000000" w:themeColor="text1"/>
          <w:u w:val="single"/>
        </w:rPr>
        <w:t>&gt;</w:t>
      </w:r>
      <w:r w:rsidRPr="009B4E42">
        <w:rPr>
          <w:color w:val="000000" w:themeColor="text1"/>
        </w:rPr>
        <w:t>10% applied a.i.</w:t>
      </w:r>
      <w:r w:rsidRPr="009B4E42">
        <w:t>)</w:t>
      </w:r>
      <w:r w:rsidR="00891CEC">
        <w:t xml:space="preserve"> and </w:t>
      </w:r>
      <w:r w:rsidR="00891CEC" w:rsidRPr="009B4E42">
        <w:t>that deisopropylatrazine</w:t>
      </w:r>
      <w:r w:rsidR="00891CEC" w:rsidRPr="009B4E42">
        <w:rPr>
          <w:color w:val="000000" w:themeColor="text1"/>
        </w:rPr>
        <w:t xml:space="preserve"> (DIA)</w:t>
      </w:r>
      <w:r w:rsidR="00891CEC">
        <w:rPr>
          <w:color w:val="000000" w:themeColor="text1"/>
        </w:rPr>
        <w:t xml:space="preserve">, </w:t>
      </w:r>
      <w:r w:rsidR="00D956E3">
        <w:rPr>
          <w:color w:val="000000" w:themeColor="text1"/>
        </w:rPr>
        <w:t>d</w:t>
      </w:r>
      <w:r w:rsidR="00891CEC">
        <w:t>eisopropylhydroxyatrazine</w:t>
      </w:r>
      <w:r w:rsidR="00D956E3">
        <w:t xml:space="preserve"> (</w:t>
      </w:r>
      <w:r w:rsidR="00891CEC">
        <w:t>DIHA)</w:t>
      </w:r>
      <w:r w:rsidR="00D956E3">
        <w:t xml:space="preserve"> and d</w:t>
      </w:r>
      <w:r w:rsidR="00891CEC">
        <w:t>eethylhydroxyatrazine (DEHA</w:t>
      </w:r>
      <w:r w:rsidR="00D956E3">
        <w:t>) are</w:t>
      </w:r>
      <w:r w:rsidR="00891CEC" w:rsidRPr="009B4E42">
        <w:t xml:space="preserve"> minor chloro</w:t>
      </w:r>
      <w:r w:rsidR="00891CEC">
        <w:t xml:space="preserve">triazine </w:t>
      </w:r>
      <w:r w:rsidR="00891CEC" w:rsidRPr="009B4E42">
        <w:t>degradation product (&lt;</w:t>
      </w:r>
      <w:r w:rsidR="00891CEC" w:rsidRPr="009B4E42">
        <w:rPr>
          <w:color w:val="000000" w:themeColor="text1"/>
        </w:rPr>
        <w:t>10% applied a.i.).</w:t>
      </w:r>
      <w:r w:rsidRPr="009B4E42">
        <w:t xml:space="preserve"> </w:t>
      </w:r>
      <w:r w:rsidR="00D7017B">
        <w:t>DE</w:t>
      </w:r>
      <w:r w:rsidRPr="009B4E42">
        <w:rPr>
          <w:color w:val="000000" w:themeColor="text1"/>
        </w:rPr>
        <w:t>A and D</w:t>
      </w:r>
      <w:r w:rsidR="00D7017B">
        <w:rPr>
          <w:color w:val="000000" w:themeColor="text1"/>
        </w:rPr>
        <w:t xml:space="preserve">ACT </w:t>
      </w:r>
      <w:r w:rsidRPr="009B4E42">
        <w:t xml:space="preserve">are formed through dealkylation of the amino groups on the </w:t>
      </w:r>
      <w:r w:rsidR="00F21192">
        <w:t>atrazine</w:t>
      </w:r>
      <w:r w:rsidRPr="009B4E42">
        <w:t xml:space="preserve"> molecule, while </w:t>
      </w:r>
      <w:r w:rsidR="00C85E72">
        <w:t>H</w:t>
      </w:r>
      <w:r w:rsidR="00D7017B">
        <w:t>A</w:t>
      </w:r>
      <w:r w:rsidR="00C85E72" w:rsidRPr="009B4E42">
        <w:t xml:space="preserve"> </w:t>
      </w:r>
      <w:r w:rsidRPr="009B4E42">
        <w:t xml:space="preserve">is formed through substitution of a chlorine by a hydroxy group. Dealkylation is a microbial-mediated process, while hydroxylation is both abiotic and microbial-mediated process. </w:t>
      </w:r>
      <w:r>
        <w:t xml:space="preserve">Formation of </w:t>
      </w:r>
      <w:r w:rsidR="009E3EFF">
        <w:t>transformation products</w:t>
      </w:r>
      <w:r>
        <w:t xml:space="preserve"> is further discussed in </w:t>
      </w:r>
      <w:r w:rsidRPr="00A909F1">
        <w:rPr>
          <w:b/>
          <w:bCs/>
        </w:rPr>
        <w:t>Chapter 3</w:t>
      </w:r>
      <w:r>
        <w:t xml:space="preserve">. </w:t>
      </w:r>
    </w:p>
    <w:p w14:paraId="780D3342" w14:textId="77777777" w:rsidR="007041A1" w:rsidRDefault="007041A1" w:rsidP="00F03815">
      <w:pPr>
        <w:spacing w:after="0" w:line="240" w:lineRule="auto"/>
      </w:pPr>
    </w:p>
    <w:p w14:paraId="00D786F5" w14:textId="77777777" w:rsidR="00F03815" w:rsidRDefault="00F03815" w:rsidP="00F03815">
      <w:pPr>
        <w:spacing w:after="0" w:line="240" w:lineRule="auto"/>
        <w:rPr>
          <w:color w:val="000000" w:themeColor="text1"/>
        </w:rPr>
      </w:pPr>
    </w:p>
    <w:p w14:paraId="1E28470B" w14:textId="09D28CDD" w:rsidR="004F3E09" w:rsidRDefault="004F3E09" w:rsidP="007041A1">
      <w:pPr>
        <w:spacing w:after="0" w:line="240" w:lineRule="auto"/>
        <w:rPr>
          <w:color w:val="000000" w:themeColor="text1"/>
        </w:rPr>
      </w:pPr>
      <w:bookmarkStart w:id="27" w:name="_Hlk51575172"/>
      <w:r w:rsidRPr="004F3E09">
        <w:rPr>
          <w:color w:val="000000" w:themeColor="text1"/>
        </w:rPr>
        <w:t>An analysis of the residues of concern is provide</w:t>
      </w:r>
      <w:r w:rsidRPr="006458E6">
        <w:rPr>
          <w:color w:val="000000" w:themeColor="text1"/>
        </w:rPr>
        <w:t xml:space="preserve">d in </w:t>
      </w:r>
      <w:r w:rsidR="00F71AC6" w:rsidRPr="006458E6">
        <w:rPr>
          <w:b/>
          <w:color w:val="000000" w:themeColor="text1"/>
        </w:rPr>
        <w:t xml:space="preserve">APPENDIX </w:t>
      </w:r>
      <w:r w:rsidRPr="006458E6">
        <w:rPr>
          <w:b/>
          <w:color w:val="000000" w:themeColor="text1"/>
        </w:rPr>
        <w:t>1-</w:t>
      </w:r>
      <w:r w:rsidR="00F71AC6" w:rsidRPr="006458E6">
        <w:rPr>
          <w:b/>
          <w:color w:val="000000" w:themeColor="text1"/>
        </w:rPr>
        <w:t>8</w:t>
      </w:r>
      <w:r w:rsidRPr="006458E6">
        <w:rPr>
          <w:color w:val="000000" w:themeColor="text1"/>
        </w:rPr>
        <w:t>. Ba</w:t>
      </w:r>
      <w:r w:rsidRPr="004F3E09">
        <w:rPr>
          <w:color w:val="000000" w:themeColor="text1"/>
        </w:rPr>
        <w:t>sed on the analysis of formation and toxicity data o</w:t>
      </w:r>
      <w:r w:rsidR="008F147B">
        <w:rPr>
          <w:color w:val="000000" w:themeColor="text1"/>
        </w:rPr>
        <w:t>f</w:t>
      </w:r>
      <w:r w:rsidRPr="004F3E09">
        <w:rPr>
          <w:color w:val="000000" w:themeColor="text1"/>
        </w:rPr>
        <w:t xml:space="preserve"> the known </w:t>
      </w:r>
      <w:r w:rsidR="009E3EFF">
        <w:rPr>
          <w:color w:val="000000" w:themeColor="text1"/>
        </w:rPr>
        <w:t>transformation products</w:t>
      </w:r>
      <w:r w:rsidRPr="004F3E09">
        <w:rPr>
          <w:color w:val="000000" w:themeColor="text1"/>
        </w:rPr>
        <w:t>, aquatic modeling of the parent compound alone is considered adequate for determining potential exposure concentrations to aquatic organisms</w:t>
      </w:r>
      <w:bookmarkEnd w:id="27"/>
      <w:r w:rsidRPr="004F3E09">
        <w:rPr>
          <w:color w:val="000000" w:themeColor="text1"/>
        </w:rPr>
        <w:t xml:space="preserve">. In the terrestrial environment, consideration is given to formation of </w:t>
      </w:r>
      <w:r w:rsidR="009E3EFF">
        <w:rPr>
          <w:color w:val="000000" w:themeColor="text1"/>
        </w:rPr>
        <w:t>transformation products</w:t>
      </w:r>
      <w:r w:rsidRPr="004F3E09">
        <w:rPr>
          <w:color w:val="000000" w:themeColor="text1"/>
        </w:rPr>
        <w:t>,</w:t>
      </w:r>
      <w:r w:rsidR="00131878" w:rsidRPr="00131878">
        <w:t xml:space="preserve"> </w:t>
      </w:r>
      <w:r w:rsidR="00131878">
        <w:t>including d</w:t>
      </w:r>
      <w:r w:rsidR="00131878" w:rsidRPr="00131878">
        <w:rPr>
          <w:color w:val="000000" w:themeColor="text1"/>
        </w:rPr>
        <w:t>eethylatrazine (DEA)</w:t>
      </w:r>
      <w:r w:rsidR="00131878">
        <w:rPr>
          <w:color w:val="000000" w:themeColor="text1"/>
        </w:rPr>
        <w:t>, d</w:t>
      </w:r>
      <w:r w:rsidR="00131878" w:rsidRPr="00131878">
        <w:rPr>
          <w:color w:val="000000" w:themeColor="text1"/>
        </w:rPr>
        <w:t>iaminochlorotriazine (DACT)</w:t>
      </w:r>
      <w:r w:rsidR="00131878">
        <w:rPr>
          <w:color w:val="000000" w:themeColor="text1"/>
        </w:rPr>
        <w:t xml:space="preserve"> and h</w:t>
      </w:r>
      <w:r w:rsidR="00131878" w:rsidRPr="00131878">
        <w:rPr>
          <w:color w:val="000000" w:themeColor="text1"/>
        </w:rPr>
        <w:t>ydroxyatrazine (HA)</w:t>
      </w:r>
      <w:r w:rsidR="00131878">
        <w:rPr>
          <w:color w:val="000000" w:themeColor="text1"/>
        </w:rPr>
        <w:t>,</w:t>
      </w:r>
      <w:r w:rsidRPr="004F3E09">
        <w:rPr>
          <w:color w:val="000000" w:themeColor="text1"/>
        </w:rPr>
        <w:t xml:space="preserve"> </w:t>
      </w:r>
      <w:r>
        <w:rPr>
          <w:color w:val="000000" w:themeColor="text1"/>
        </w:rPr>
        <w:t>through the consideration of toxicity data</w:t>
      </w:r>
      <w:r w:rsidR="00150200">
        <w:rPr>
          <w:color w:val="000000" w:themeColor="text1"/>
        </w:rPr>
        <w:t xml:space="preserve"> and foliar dissipation half-lives</w:t>
      </w:r>
      <w:r>
        <w:rPr>
          <w:color w:val="000000" w:themeColor="text1"/>
        </w:rPr>
        <w:t xml:space="preserve"> (</w:t>
      </w:r>
      <w:r w:rsidRPr="004F3E09">
        <w:rPr>
          <w:b/>
          <w:bCs/>
          <w:color w:val="000000" w:themeColor="text1"/>
        </w:rPr>
        <w:t>Chapter</w:t>
      </w:r>
      <w:r w:rsidR="000B78D9">
        <w:rPr>
          <w:b/>
          <w:bCs/>
          <w:color w:val="000000" w:themeColor="text1"/>
        </w:rPr>
        <w:t>s</w:t>
      </w:r>
      <w:r w:rsidRPr="004F3E09">
        <w:rPr>
          <w:b/>
          <w:bCs/>
          <w:color w:val="000000" w:themeColor="text1"/>
        </w:rPr>
        <w:t xml:space="preserve"> 2</w:t>
      </w:r>
      <w:r w:rsidR="000B78D9">
        <w:rPr>
          <w:b/>
          <w:bCs/>
          <w:color w:val="000000" w:themeColor="text1"/>
        </w:rPr>
        <w:t xml:space="preserve"> and 3</w:t>
      </w:r>
      <w:r>
        <w:rPr>
          <w:color w:val="000000" w:themeColor="text1"/>
        </w:rPr>
        <w:t>).</w:t>
      </w:r>
    </w:p>
    <w:p w14:paraId="6D72B7F3" w14:textId="77777777" w:rsidR="007041A1" w:rsidRDefault="007041A1" w:rsidP="007041A1">
      <w:pPr>
        <w:spacing w:after="0" w:line="240" w:lineRule="auto"/>
        <w:rPr>
          <w:color w:val="000000" w:themeColor="text1"/>
        </w:rPr>
      </w:pPr>
    </w:p>
    <w:p w14:paraId="488D8F83" w14:textId="77777777" w:rsidR="006A290E" w:rsidRDefault="006A290E" w:rsidP="007041A1">
      <w:pPr>
        <w:spacing w:after="0" w:line="240" w:lineRule="auto"/>
      </w:pPr>
      <w:bookmarkStart w:id="28" w:name="_Toc31220275"/>
    </w:p>
    <w:p w14:paraId="79C77D56" w14:textId="77777777" w:rsidR="006A290E" w:rsidRPr="002C29BA" w:rsidRDefault="006A290E" w:rsidP="006A290E">
      <w:pPr>
        <w:pStyle w:val="Heading1"/>
      </w:pPr>
      <w:bookmarkStart w:id="29" w:name="_Toc53768050"/>
      <w:r w:rsidRPr="002C29BA">
        <w:t>Analysis Plan</w:t>
      </w:r>
      <w:bookmarkEnd w:id="28"/>
      <w:bookmarkEnd w:id="29"/>
    </w:p>
    <w:p w14:paraId="7A53C6CD" w14:textId="77777777" w:rsidR="00F03815" w:rsidRDefault="00F03815" w:rsidP="006A290E">
      <w:pPr>
        <w:spacing w:after="0" w:line="240" w:lineRule="auto"/>
        <w:rPr>
          <w:rStyle w:val="eop"/>
          <w:rFonts w:asciiTheme="minorHAnsi" w:hAnsiTheme="minorHAnsi" w:cstheme="minorHAnsi"/>
        </w:rPr>
      </w:pPr>
      <w:bookmarkStart w:id="30" w:name="_Hlk33466025"/>
    </w:p>
    <w:p w14:paraId="72BFC78E" w14:textId="17B0F280" w:rsidR="006A290E" w:rsidRDefault="006A290E" w:rsidP="006A290E">
      <w:pPr>
        <w:spacing w:after="0" w:line="240" w:lineRule="auto"/>
        <w:rPr>
          <w:rStyle w:val="eop"/>
          <w:rFonts w:asciiTheme="minorHAnsi" w:hAnsiTheme="minorHAnsi" w:cstheme="minorHAnsi"/>
        </w:rPr>
      </w:pPr>
      <w:r w:rsidRPr="001561C2">
        <w:rPr>
          <w:rStyle w:val="eop"/>
          <w:rFonts w:asciiTheme="minorHAnsi" w:hAnsiTheme="minorHAnsi" w:cstheme="minorHAnsi"/>
        </w:rPr>
        <w:t xml:space="preserve">Listed species and designated critical habitats that were listed as of </w:t>
      </w:r>
      <w:r w:rsidRPr="004B3715">
        <w:rPr>
          <w:rStyle w:val="eop"/>
          <w:rFonts w:asciiTheme="minorHAnsi" w:hAnsiTheme="minorHAnsi" w:cstheme="minorHAnsi"/>
        </w:rPr>
        <w:t>Jan 30, 2019</w:t>
      </w:r>
      <w:r w:rsidRPr="001561C2">
        <w:rPr>
          <w:rStyle w:val="eop"/>
          <w:rFonts w:asciiTheme="minorHAnsi" w:hAnsiTheme="minorHAnsi" w:cstheme="minorHAnsi"/>
        </w:rPr>
        <w:t xml:space="preserve"> are </w:t>
      </w:r>
      <w:r w:rsidR="008F147B">
        <w:rPr>
          <w:rStyle w:val="eop"/>
          <w:rFonts w:asciiTheme="minorHAnsi" w:hAnsiTheme="minorHAnsi" w:cstheme="minorHAnsi"/>
        </w:rPr>
        <w:t>considered</w:t>
      </w:r>
      <w:r w:rsidRPr="001561C2">
        <w:rPr>
          <w:rStyle w:val="eop"/>
          <w:rFonts w:asciiTheme="minorHAnsi" w:hAnsiTheme="minorHAnsi" w:cstheme="minorHAnsi"/>
        </w:rPr>
        <w:t xml:space="preserve"> in this BE</w:t>
      </w:r>
      <w:r w:rsidR="00E520CC">
        <w:rPr>
          <w:rStyle w:val="eop"/>
          <w:rFonts w:asciiTheme="minorHAnsi" w:hAnsiTheme="minorHAnsi" w:cstheme="minorHAnsi"/>
        </w:rPr>
        <w:t xml:space="preserve"> (see </w:t>
      </w:r>
      <w:r w:rsidR="00E520CC" w:rsidRPr="00E520CC">
        <w:rPr>
          <w:rStyle w:val="eop"/>
          <w:rFonts w:asciiTheme="minorHAnsi" w:hAnsiTheme="minorHAnsi" w:cstheme="minorHAnsi"/>
          <w:b/>
          <w:bCs/>
        </w:rPr>
        <w:t>A</w:t>
      </w:r>
      <w:r w:rsidR="00E520CC">
        <w:rPr>
          <w:rStyle w:val="eop"/>
          <w:rFonts w:asciiTheme="minorHAnsi" w:hAnsiTheme="minorHAnsi" w:cstheme="minorHAnsi"/>
          <w:b/>
          <w:bCs/>
        </w:rPr>
        <w:t>PPENDIX</w:t>
      </w:r>
      <w:r w:rsidR="00E520CC" w:rsidRPr="00E520CC">
        <w:rPr>
          <w:rStyle w:val="eop"/>
          <w:rFonts w:asciiTheme="minorHAnsi" w:hAnsiTheme="minorHAnsi" w:cstheme="minorHAnsi"/>
          <w:b/>
          <w:bCs/>
        </w:rPr>
        <w:t xml:space="preserve"> 4-1</w:t>
      </w:r>
      <w:r w:rsidR="00E520CC">
        <w:rPr>
          <w:rStyle w:val="eop"/>
          <w:rFonts w:asciiTheme="minorHAnsi" w:hAnsiTheme="minorHAnsi" w:cstheme="minorHAnsi"/>
        </w:rPr>
        <w:t xml:space="preserve"> for complete species lists)</w:t>
      </w:r>
      <w:r w:rsidRPr="001561C2">
        <w:rPr>
          <w:rStyle w:val="eop"/>
          <w:rFonts w:asciiTheme="minorHAnsi" w:hAnsiTheme="minorHAnsi" w:cstheme="minorHAnsi"/>
        </w:rPr>
        <w:t xml:space="preserve">. </w:t>
      </w:r>
      <w:r w:rsidR="008F147B">
        <w:rPr>
          <w:rStyle w:val="eop"/>
          <w:rFonts w:asciiTheme="minorHAnsi" w:hAnsiTheme="minorHAnsi" w:cstheme="minorHAnsi"/>
        </w:rPr>
        <w:t>Effects determinations were made for</w:t>
      </w:r>
      <w:r>
        <w:rPr>
          <w:rStyle w:val="eop"/>
          <w:rFonts w:asciiTheme="minorHAnsi" w:hAnsiTheme="minorHAnsi" w:cstheme="minorHAnsi"/>
        </w:rPr>
        <w:t xml:space="preserve"> </w:t>
      </w:r>
      <w:r w:rsidR="00E520CC">
        <w:rPr>
          <w:rStyle w:val="eop"/>
          <w:rFonts w:asciiTheme="minorHAnsi" w:hAnsiTheme="minorHAnsi" w:cstheme="minorHAnsi"/>
        </w:rPr>
        <w:t xml:space="preserve">1795 </w:t>
      </w:r>
      <w:r>
        <w:rPr>
          <w:rStyle w:val="eop"/>
          <w:rFonts w:asciiTheme="minorHAnsi" w:hAnsiTheme="minorHAnsi" w:cstheme="minorHAnsi"/>
        </w:rPr>
        <w:t>listed species and 79</w:t>
      </w:r>
      <w:r w:rsidR="00E520CC">
        <w:rPr>
          <w:rStyle w:val="eop"/>
          <w:rFonts w:asciiTheme="minorHAnsi" w:hAnsiTheme="minorHAnsi" w:cstheme="minorHAnsi"/>
        </w:rPr>
        <w:t>2</w:t>
      </w:r>
      <w:r>
        <w:rPr>
          <w:rStyle w:val="eop"/>
          <w:rFonts w:asciiTheme="minorHAnsi" w:hAnsiTheme="minorHAnsi" w:cstheme="minorHAnsi"/>
        </w:rPr>
        <w:t xml:space="preserve"> designated critical habitats. </w:t>
      </w:r>
    </w:p>
    <w:bookmarkEnd w:id="30"/>
    <w:p w14:paraId="42578C0B" w14:textId="77777777" w:rsidR="006A290E" w:rsidRPr="001561C2" w:rsidRDefault="006A290E" w:rsidP="006A290E">
      <w:pPr>
        <w:spacing w:after="0" w:line="240" w:lineRule="auto"/>
        <w:rPr>
          <w:rStyle w:val="eop"/>
          <w:rFonts w:asciiTheme="minorHAnsi" w:hAnsiTheme="minorHAnsi" w:cstheme="minorHAnsi"/>
        </w:rPr>
      </w:pPr>
    </w:p>
    <w:p w14:paraId="33A46CC5" w14:textId="2C58CB77" w:rsidR="006A290E" w:rsidRDefault="006A290E" w:rsidP="006A290E">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F21192">
        <w:rPr>
          <w:rFonts w:eastAsiaTheme="minorEastAsia"/>
        </w:rPr>
        <w:t>atrazine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F21192">
        <w:rPr>
          <w:rFonts w:eastAsiaTheme="minorEastAsia"/>
        </w:rPr>
        <w:t>atrazine</w:t>
      </w:r>
      <w:r w:rsidRPr="001561C2">
        <w:rPr>
          <w:rFonts w:eastAsiaTheme="minorEastAsia"/>
        </w:rPr>
        <w:t xml:space="preserve"> is Not Likely to Adversely Affect (NLAA) or Likely to Adversely Affect (LAA) each individual species or critical habitat. </w:t>
      </w:r>
    </w:p>
    <w:p w14:paraId="45ED9530" w14:textId="77777777" w:rsidR="006A290E" w:rsidRDefault="006A290E" w:rsidP="006A290E">
      <w:pPr>
        <w:spacing w:after="0" w:line="240" w:lineRule="auto"/>
        <w:rPr>
          <w:rFonts w:eastAsiaTheme="minorEastAsia"/>
        </w:rPr>
      </w:pPr>
    </w:p>
    <w:p w14:paraId="46812130" w14:textId="53B4E907" w:rsidR="006A290E" w:rsidRDefault="006A290E" w:rsidP="006A290E">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F21192">
        <w:rPr>
          <w:rFonts w:eastAsiaTheme="minorEastAsia"/>
        </w:rPr>
        <w:t>atrazine</w:t>
      </w:r>
      <w:r>
        <w:rPr>
          <w:rFonts w:eastAsiaTheme="minorEastAsia"/>
        </w:rPr>
        <w:t xml:space="preserve"> specific information that is used in the Revised Method to complete this BE. </w:t>
      </w:r>
    </w:p>
    <w:p w14:paraId="62E3049A" w14:textId="77777777" w:rsidR="006A290E" w:rsidRDefault="006A290E" w:rsidP="006A290E">
      <w:pPr>
        <w:spacing w:after="0" w:line="240" w:lineRule="auto"/>
        <w:jc w:val="center"/>
      </w:pPr>
    </w:p>
    <w:p w14:paraId="3A3483CD" w14:textId="4FD32FE1" w:rsidR="006A290E" w:rsidRPr="00DD0C13" w:rsidRDefault="006A290E" w:rsidP="006A290E">
      <w:pPr>
        <w:spacing w:after="0" w:line="240" w:lineRule="auto"/>
      </w:pPr>
      <w:r w:rsidRPr="00667162">
        <w:lastRenderedPageBreak/>
        <w:t xml:space="preserve">Step 1 begins with an analysis of the potential overlap of the action area and individual species ranges or </w:t>
      </w:r>
      <w:r w:rsidRPr="008308E4">
        <w:t>critical habitat. For species or critical habitats with no overlap (</w:t>
      </w:r>
      <w:r w:rsidRPr="008308E4">
        <w:rPr>
          <w:i/>
          <w:iCs/>
        </w:rPr>
        <w:t>i.e.,</w:t>
      </w:r>
      <w:r w:rsidRPr="008308E4">
        <w:t xml:space="preserve"> species found outside of the action area), NE determinations are made. The </w:t>
      </w:r>
      <w:r w:rsidR="00F21192">
        <w:t>atrazine</w:t>
      </w:r>
      <w:r w:rsidRPr="00DD0C13">
        <w:t xml:space="preserve"> overlap analysis is conducted using ArcGIS version 10.7. The action area is derived using potential use sites and the off-site transport zone. The currently registered uses</w:t>
      </w:r>
      <w:r w:rsidR="00E520CC">
        <w:t>, incorporating changes based on commitment letters</w:t>
      </w:r>
      <w:r w:rsidRPr="00DD0C13">
        <w:t xml:space="preserve"> (summarized in </w:t>
      </w:r>
      <w:r w:rsidRPr="00DD0C13">
        <w:rPr>
          <w:b/>
        </w:rPr>
        <w:t xml:space="preserve">Section 3 </w:t>
      </w:r>
      <w:r w:rsidRPr="00DD0C13">
        <w:t xml:space="preserve">and </w:t>
      </w:r>
      <w:r w:rsidRPr="00DD0C13">
        <w:rPr>
          <w:b/>
        </w:rPr>
        <w:t>APPENDIX 1-</w:t>
      </w:r>
      <w:r w:rsidR="00E520CC">
        <w:rPr>
          <w:b/>
        </w:rPr>
        <w:t>3</w:t>
      </w:r>
      <w:r w:rsidRPr="00DD0C13">
        <w:t xml:space="preserve">) include agricultural, </w:t>
      </w:r>
      <w:r w:rsidR="00F00969">
        <w:t xml:space="preserve">and </w:t>
      </w:r>
      <w:r w:rsidRPr="00DD0C13">
        <w:t>non-agricultural</w:t>
      </w:r>
      <w:r w:rsidR="009E3EFF">
        <w:t xml:space="preserve"> uses. </w:t>
      </w:r>
      <w:r w:rsidR="00D34763">
        <w:t>F</w:t>
      </w:r>
      <w:r w:rsidRPr="00DD0C13">
        <w:t xml:space="preserve">or </w:t>
      </w:r>
      <w:r w:rsidR="00F21192">
        <w:t>atrazine</w:t>
      </w:r>
      <w:r w:rsidRPr="00DD0C13">
        <w:t>, agricultural and non-agricultural use sites are used to derive the action area (along with the associated off-site transport zone).</w:t>
      </w:r>
    </w:p>
    <w:p w14:paraId="0BB132FB" w14:textId="77777777" w:rsidR="006A290E" w:rsidRPr="00827163" w:rsidRDefault="006A290E" w:rsidP="006A290E">
      <w:pPr>
        <w:spacing w:after="0" w:line="240" w:lineRule="auto"/>
        <w:rPr>
          <w:highlight w:val="yellow"/>
        </w:rPr>
      </w:pPr>
    </w:p>
    <w:p w14:paraId="27FD830E" w14:textId="41FBF840" w:rsidR="006A290E" w:rsidRPr="00DD0C13" w:rsidRDefault="006A290E" w:rsidP="006A290E">
      <w:pPr>
        <w:spacing w:after="0" w:line="240" w:lineRule="auto"/>
      </w:pPr>
      <w:r w:rsidRPr="00DD0C13">
        <w:t xml:space="preserve">A number of spatial data sources were used to generate Use Data Layers (UDLs), which map the potential use sites for </w:t>
      </w:r>
      <w:r w:rsidR="00F21192">
        <w:t>atrazine</w:t>
      </w:r>
      <w:r w:rsidRPr="00DD0C13">
        <w:t>. In ConUS, agricultural use patterns 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5"/>
      </w:r>
      <w:r w:rsidRPr="00DD0C13">
        <w:t xml:space="preserve">.  This analysis utilizes data from 2013-2017. </w:t>
      </w:r>
      <w:r w:rsidR="00F71AC6">
        <w:t xml:space="preserve">As the commitment letters restrict the use of </w:t>
      </w:r>
      <w:r w:rsidR="00F21192">
        <w:t>atrazine</w:t>
      </w:r>
      <w:r w:rsidR="00F71AC6">
        <w:t xml:space="preserve"> to the </w:t>
      </w:r>
      <w:bookmarkStart w:id="31" w:name="_Hlk52771943"/>
      <w:r w:rsidR="00596293">
        <w:t xml:space="preserve">areas outside of </w:t>
      </w:r>
      <w:bookmarkEnd w:id="31"/>
      <w:r w:rsidR="00CC0C45">
        <w:t>ConUS</w:t>
      </w:r>
      <w:r w:rsidR="00F71AC6">
        <w:t>, outside areas (</w:t>
      </w:r>
      <w:r w:rsidR="00F71AC6">
        <w:rPr>
          <w:i/>
          <w:iCs/>
        </w:rPr>
        <w:t>e.g.,</w:t>
      </w:r>
      <w:r w:rsidR="00F71AC6">
        <w:t xml:space="preserve"> Hawaii, Puerto Rico, etc.) were not included in the analysis.</w:t>
      </w:r>
      <w:r w:rsidRPr="00DD0C13">
        <w:t xml:space="preserve"> </w:t>
      </w:r>
      <w:r w:rsidRPr="00DD0C13">
        <w:rPr>
          <w:b/>
        </w:rPr>
        <w:t>A</w:t>
      </w:r>
      <w:r>
        <w:rPr>
          <w:b/>
        </w:rPr>
        <w:t>PPENDIX</w:t>
      </w:r>
      <w:r w:rsidRPr="00DD0C13">
        <w:rPr>
          <w:b/>
        </w:rPr>
        <w:t xml:space="preserve"> 1-</w:t>
      </w:r>
      <w:r w:rsidR="00596293">
        <w:rPr>
          <w:b/>
        </w:rPr>
        <w:t>6</w:t>
      </w:r>
      <w:r w:rsidRPr="00DD0C13">
        <w:t xml:space="preserve"> includes a crosswalk between </w:t>
      </w:r>
      <w:r w:rsidR="00F21192">
        <w:t>atrazine</w:t>
      </w:r>
      <w:r w:rsidRPr="00DD0C13">
        <w:t xml:space="preserve">’s registered agricultural crops and the CDL. </w:t>
      </w:r>
      <w:r w:rsidRPr="00DD0C13">
        <w:rPr>
          <w:b/>
        </w:rPr>
        <w:t>A</w:t>
      </w:r>
      <w:r>
        <w:rPr>
          <w:b/>
        </w:rPr>
        <w:t>PPENDIX</w:t>
      </w:r>
      <w:r w:rsidRPr="00DD0C13">
        <w:rPr>
          <w:b/>
        </w:rPr>
        <w:t xml:space="preserve"> 1-</w:t>
      </w:r>
      <w:r w:rsidR="00596293">
        <w:rPr>
          <w:b/>
        </w:rPr>
        <w:t>6</w:t>
      </w:r>
      <w:r w:rsidRPr="00DD0C13">
        <w:t xml:space="preserve"> also defines how individual CDL layers are grouped into UDL categories</w:t>
      </w:r>
      <w:r w:rsidRPr="00DD0C13">
        <w:rPr>
          <w:rStyle w:val="FootnoteReference"/>
        </w:rPr>
        <w:footnoteReference w:id="6"/>
      </w:r>
      <w:r w:rsidRPr="00DD0C13">
        <w:t xml:space="preserve"> </w:t>
      </w:r>
      <w:bookmarkStart w:id="32" w:name="_Hlk32246071"/>
      <w:r w:rsidRPr="00DD0C13">
        <w:t xml:space="preserve">and temporally combined </w:t>
      </w:r>
      <w:bookmarkEnd w:id="32"/>
      <w:r w:rsidRPr="00DD0C13">
        <w:t>to account for the accuracy of the data. USDA’s 2012 Census of Agriculture (CoA) is also used to improve accuracy by expanding the agricultural UDLs to meet or exceed the reported acres in the CoA (</w:t>
      </w:r>
      <w:r w:rsidRPr="00DD0C13">
        <w:rPr>
          <w:b/>
        </w:rPr>
        <w:t>A</w:t>
      </w:r>
      <w:r>
        <w:rPr>
          <w:b/>
        </w:rPr>
        <w:t>TTACHMENT</w:t>
      </w:r>
      <w:r w:rsidRPr="00DD0C13">
        <w:rPr>
          <w:b/>
        </w:rPr>
        <w:t xml:space="preserve"> 1-3</w:t>
      </w:r>
      <w:r w:rsidRPr="00DD0C13">
        <w:t xml:space="preserve">). </w:t>
      </w:r>
      <w:r w:rsidR="00F452B8" w:rsidRPr="00F452B8">
        <w:t xml:space="preserve">Fallow UDLs were generated by combining the individual UDLs for each crop found in the rotations. </w:t>
      </w:r>
      <w:r w:rsidRPr="00DD0C13">
        <w:t xml:space="preserve">For non-agricultural use patterns in ConUS additional UDLs were created to represent </w:t>
      </w:r>
      <w:r w:rsidR="00F21192">
        <w:t>atrazine</w:t>
      </w:r>
      <w:r w:rsidRPr="00DD0C13">
        <w:t>’s registered uses. The data sources used for these UDLs included but are not limited to the NLCD 2011, GAP Protected Areas Database, LandFire and NAVTEQ; for additional detail</w:t>
      </w:r>
      <w:r w:rsidR="00A32A99">
        <w:t>s</w:t>
      </w:r>
      <w:r w:rsidRPr="00DD0C13">
        <w:t xml:space="preserve"> see </w:t>
      </w:r>
      <w:r w:rsidRPr="00DD0C13">
        <w:rPr>
          <w:b/>
        </w:rPr>
        <w:t>A</w:t>
      </w:r>
      <w:r>
        <w:rPr>
          <w:b/>
        </w:rPr>
        <w:t>PPENDIX</w:t>
      </w:r>
      <w:r w:rsidRPr="00DD0C13">
        <w:rPr>
          <w:b/>
        </w:rPr>
        <w:t xml:space="preserve"> 1-6</w:t>
      </w:r>
      <w:r w:rsidR="00A32A99">
        <w:rPr>
          <w:b/>
        </w:rPr>
        <w:t xml:space="preserve"> </w:t>
      </w:r>
      <w:r w:rsidR="00A32A99">
        <w:rPr>
          <w:bCs/>
        </w:rPr>
        <w:t>which</w:t>
      </w:r>
      <w:r w:rsidRPr="00DD0C13">
        <w:t xml:space="preserve"> summarizes all spatial data used to generate the agricultural and non-agricultural UDLs used for </w:t>
      </w:r>
      <w:r w:rsidR="00F21192">
        <w:t>atrazine</w:t>
      </w:r>
      <w:r w:rsidRPr="00DD0C13">
        <w:t>’s potential use site footprints</w:t>
      </w:r>
      <w:r w:rsidR="000352D7">
        <w:t xml:space="preserve">. </w:t>
      </w:r>
    </w:p>
    <w:p w14:paraId="43996895" w14:textId="77777777" w:rsidR="006A290E" w:rsidRPr="0011187A" w:rsidRDefault="006A290E" w:rsidP="006A290E">
      <w:pPr>
        <w:keepNext/>
        <w:keepLines/>
        <w:spacing w:after="0" w:line="240" w:lineRule="auto"/>
        <w:rPr>
          <w:highlight w:val="yellow"/>
        </w:rPr>
      </w:pPr>
    </w:p>
    <w:p w14:paraId="6F4DF451" w14:textId="560E9C65" w:rsidR="006A290E" w:rsidRDefault="006A290E" w:rsidP="006A290E">
      <w:pPr>
        <w:spacing w:after="0" w:line="240" w:lineRule="auto"/>
      </w:pPr>
      <w:r w:rsidRPr="0023583F">
        <w:t xml:space="preserve">The Step 2 overlap analysis incorporates </w:t>
      </w:r>
      <w:r w:rsidR="00F21192">
        <w:t>atrazine</w:t>
      </w:r>
      <w:r w:rsidRPr="0023583F">
        <w:t xml:space="preserve"> </w:t>
      </w:r>
      <w:r>
        <w:t>usage data, which are provided</w:t>
      </w:r>
      <w:r w:rsidRPr="0023583F">
        <w:t xml:space="preserve"> in the SUUM</w:t>
      </w:r>
      <w:bookmarkStart w:id="33" w:name="_Hlk52770530"/>
      <w:r w:rsidR="00131878">
        <w:t xml:space="preserve"> (</w:t>
      </w:r>
      <w:r w:rsidR="00131878" w:rsidRPr="00131878">
        <w:t>SIAB Use and Usage Matrix</w:t>
      </w:r>
      <w:r w:rsidR="00131878">
        <w:t>)</w:t>
      </w:r>
      <w:bookmarkEnd w:id="33"/>
      <w:r w:rsidR="00C05A73">
        <w:t xml:space="preserve"> </w:t>
      </w:r>
      <w:bookmarkStart w:id="34" w:name="_Hlk52362940"/>
      <w:r w:rsidR="00C05A73">
        <w:t>combin</w:t>
      </w:r>
      <w:r w:rsidR="009E2E26">
        <w:t>ing it</w:t>
      </w:r>
      <w:r w:rsidR="00C05A73">
        <w:t xml:space="preserve"> with information from the CoA</w:t>
      </w:r>
      <w:r w:rsidRPr="0023583F">
        <w:t xml:space="preserve"> </w:t>
      </w:r>
      <w:bookmarkEnd w:id="34"/>
      <w:r w:rsidRPr="0023583F">
        <w:t>(</w:t>
      </w:r>
      <w:r w:rsidRPr="0023583F">
        <w:rPr>
          <w:b/>
        </w:rPr>
        <w:t>A</w:t>
      </w:r>
      <w:r>
        <w:rPr>
          <w:b/>
        </w:rPr>
        <w:t>PPENDIX</w:t>
      </w:r>
      <w:r w:rsidRPr="0023583F">
        <w:rPr>
          <w:b/>
        </w:rPr>
        <w:t xml:space="preserve"> 1-4</w:t>
      </w:r>
      <w:bookmarkStart w:id="35" w:name="_Hlk52362959"/>
      <w:r w:rsidR="00C05A73">
        <w:rPr>
          <w:b/>
        </w:rPr>
        <w:t>, ATTACHMENT 1-4</w:t>
      </w:r>
      <w:bookmarkEnd w:id="35"/>
      <w:r w:rsidRPr="0023583F">
        <w:t xml:space="preserve">). </w:t>
      </w:r>
      <w:r w:rsidRPr="0023583F">
        <w:rPr>
          <w:b/>
        </w:rPr>
        <w:t>A</w:t>
      </w:r>
      <w:r>
        <w:rPr>
          <w:b/>
        </w:rPr>
        <w:t>PPENDI</w:t>
      </w:r>
      <w:r w:rsidR="00213AAE">
        <w:rPr>
          <w:b/>
        </w:rPr>
        <w:t>X</w:t>
      </w:r>
      <w:r w:rsidRPr="0023583F">
        <w:rPr>
          <w:b/>
        </w:rPr>
        <w:t xml:space="preserve"> 1-7 </w:t>
      </w:r>
      <w:r w:rsidRPr="0023583F">
        <w:t xml:space="preserve">describe how the usage data for </w:t>
      </w:r>
      <w:r w:rsidR="00F21192">
        <w:t>atrazine</w:t>
      </w:r>
      <w:bookmarkStart w:id="36" w:name="_Hlk52770611"/>
      <w:r w:rsidR="009E2E26">
        <w:t>, the CoA</w:t>
      </w:r>
      <w:r w:rsidR="00342A2C">
        <w:t>,</w:t>
      </w:r>
      <w:r w:rsidR="009E2E26">
        <w:t xml:space="preserve"> and the potential use sites</w:t>
      </w:r>
      <w:r w:rsidRPr="0023583F">
        <w:t xml:space="preserve"> </w:t>
      </w:r>
      <w:bookmarkEnd w:id="36"/>
      <w:r w:rsidRPr="0023583F">
        <w:t>are combined to estimate the number of treated acres relevant to a given species located in ConUS. These appendices also explain how the off-site transport zone (specifically spray drift) is adjusted based on available usage data.</w:t>
      </w:r>
      <w:r>
        <w:t xml:space="preserve"> </w:t>
      </w:r>
    </w:p>
    <w:p w14:paraId="5F4C8C4B" w14:textId="384EB9DF" w:rsidR="002A434C" w:rsidRDefault="002A434C" w:rsidP="006A290E">
      <w:pPr>
        <w:spacing w:after="0" w:line="240" w:lineRule="auto"/>
        <w:rPr>
          <w:rFonts w:eastAsiaTheme="minorEastAsia"/>
        </w:rPr>
      </w:pPr>
    </w:p>
    <w:p w14:paraId="7A54C88B" w14:textId="77777777" w:rsidR="003D15AA" w:rsidRDefault="003D15AA" w:rsidP="003D15AA">
      <w:r>
        <w:t>The Revised Method document stated “Over time, EPA expects to update the MAGtool and other models and tools described in this document. When a pesticide BE is conducted, it will incorporate the most current versions of models and tools intended for use in the BEs.” This BE is consistent with the Revised Method and includes two method updates that are intended to improve the methods for assessing exposure and effects to plants. First, this BE utilizes a refined exposure model for plants inhabiting terrestrial, wetland and aquatic habitats. Second, this BE incorporates surrogate endpoints for plants when No Observed Adverse Effects Concentrations (NOAEC) values are not available. These approaches are discussed below.</w:t>
      </w:r>
    </w:p>
    <w:p w14:paraId="219E7E33" w14:textId="7F85C8E1" w:rsidR="003D15AA" w:rsidRDefault="003D15AA" w:rsidP="007041A1">
      <w:pPr>
        <w:spacing w:after="0"/>
      </w:pPr>
      <w:r>
        <w:lastRenderedPageBreak/>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AgDRIFT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plants exposure is modeled using the PRZM/VVWM models and the standard pond. The results from PAT are summarized for use in the MAGtool in the same way as the results from PWC.</w:t>
      </w:r>
      <w:bookmarkStart w:id="37" w:name="_GoBack"/>
    </w:p>
    <w:p w14:paraId="4A785261" w14:textId="77777777" w:rsidR="007041A1" w:rsidRDefault="007041A1" w:rsidP="007041A1">
      <w:pPr>
        <w:spacing w:after="0"/>
      </w:pPr>
    </w:p>
    <w:bookmarkEnd w:id="37"/>
    <w:p w14:paraId="585C2E30" w14:textId="0684696E" w:rsidR="003D15AA" w:rsidRDefault="003D15AA" w:rsidP="007041A1">
      <w:pPr>
        <w:spacing w:after="0"/>
      </w:pPr>
      <w:r>
        <w:t>For listed terrestrial and wetland plant species, NOAECs from seedling emergence and vegetative vigor studies are used to represent toxicity endpoints. There are often cases where NOAECs are not available (e.g.,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007041A1">
        <w:rPr>
          <w:b/>
          <w:bCs/>
        </w:rPr>
        <w:fldChar w:fldCharType="begin"/>
      </w:r>
      <w:r w:rsidR="007041A1">
        <w:instrText xml:space="preserve"> REF _Ref54167934 \h </w:instrText>
      </w:r>
      <w:r w:rsidR="007041A1">
        <w:rPr>
          <w:b/>
          <w:bCs/>
        </w:rPr>
      </w:r>
      <w:r w:rsidR="007041A1">
        <w:rPr>
          <w:b/>
          <w:bCs/>
        </w:rPr>
        <w:fldChar w:fldCharType="separate"/>
      </w:r>
      <w:r w:rsidR="007041A1" w:rsidRPr="007041A1">
        <w:t>Table 7</w:t>
      </w:r>
      <w:r w:rsidR="007041A1" w:rsidRPr="007041A1">
        <w:noBreakHyphen/>
        <w:t>1</w:t>
      </w:r>
      <w:r w:rsidR="007041A1">
        <w:rPr>
          <w:b/>
          <w:bCs/>
        </w:rPr>
        <w:fldChar w:fldCharType="end"/>
      </w:r>
      <w:r>
        <w:t>; supporting details in</w:t>
      </w:r>
      <w:r w:rsidRPr="00FF5EDB">
        <w:rPr>
          <w:b/>
          <w:bCs/>
        </w:rPr>
        <w:t xml:space="preserve"> ATTACHMENT 1-5</w:t>
      </w:r>
      <w:r>
        <w:t xml:space="preserve">). This analysis does not consider the biological significance of the percent effect but rather identifies an ICx value at which we have confidence the measured effect is discernible. </w:t>
      </w:r>
      <w:r w:rsidR="007041A1">
        <w:rPr>
          <w:b/>
          <w:bCs/>
        </w:rPr>
        <w:fldChar w:fldCharType="begin"/>
      </w:r>
      <w:r w:rsidR="007041A1">
        <w:instrText xml:space="preserve"> REF _Ref54167934 \h </w:instrText>
      </w:r>
      <w:r w:rsidR="007041A1">
        <w:rPr>
          <w:b/>
          <w:bCs/>
        </w:rPr>
      </w:r>
      <w:r w:rsidR="007041A1">
        <w:rPr>
          <w:b/>
          <w:bCs/>
        </w:rPr>
        <w:fldChar w:fldCharType="separate"/>
      </w:r>
      <w:r w:rsidR="007041A1" w:rsidRPr="007041A1">
        <w:t>Table 7</w:t>
      </w:r>
      <w:r w:rsidR="007041A1" w:rsidRPr="007041A1">
        <w:noBreakHyphen/>
        <w:t>1</w:t>
      </w:r>
      <w:r w:rsidR="007041A1">
        <w:rPr>
          <w:b/>
          <w:bCs/>
        </w:rPr>
        <w:fldChar w:fldCharType="end"/>
      </w:r>
      <w:r w:rsidR="007041A1">
        <w:rPr>
          <w:b/>
          <w:bCs/>
        </w:rPr>
        <w:t xml:space="preserve"> </w:t>
      </w:r>
      <w:r w:rsidR="007041A1" w:rsidRPr="007041A1">
        <w:t>p</w:t>
      </w:r>
      <w:r>
        <w:t xml:space="preserve">resents the </w:t>
      </w:r>
      <w:proofErr w:type="spellStart"/>
      <w:r>
        <w:t>ICx</w:t>
      </w:r>
      <w:proofErr w:type="spellEnd"/>
      <w:r>
        <w:t xml:space="preserve"> values that will be used as the Step 1 and 2 thresholds when a reliable NOAEC value is not available.</w:t>
      </w:r>
    </w:p>
    <w:p w14:paraId="67873845" w14:textId="77777777" w:rsidR="007041A1" w:rsidRDefault="007041A1" w:rsidP="007041A1">
      <w:pPr>
        <w:spacing w:after="0"/>
      </w:pPr>
    </w:p>
    <w:p w14:paraId="0C197061" w14:textId="6735B4B4" w:rsidR="00505D78" w:rsidRPr="007041A1" w:rsidRDefault="00505D78" w:rsidP="007041A1">
      <w:pPr>
        <w:pStyle w:val="Caption"/>
      </w:pPr>
      <w:r w:rsidRPr="007041A1">
        <w:t xml:space="preserve"> </w:t>
      </w:r>
      <w:bookmarkStart w:id="38" w:name="_Ref54167934"/>
      <w:r w:rsidR="007041A1" w:rsidRPr="007041A1">
        <w:t xml:space="preserve">Table </w:t>
      </w:r>
      <w:fldSimple w:instr=" STYLEREF 1 \s ">
        <w:r w:rsidR="007041A1" w:rsidRPr="007041A1">
          <w:t>7</w:t>
        </w:r>
      </w:fldSimple>
      <w:r w:rsidR="007041A1" w:rsidRPr="007041A1">
        <w:noBreakHyphen/>
      </w:r>
      <w:fldSimple w:instr=" SEQ Table \* ARABIC \s 1 ">
        <w:r w:rsidR="007041A1" w:rsidRPr="007041A1">
          <w:t>1</w:t>
        </w:r>
      </w:fldSimple>
      <w:bookmarkEnd w:id="38"/>
      <w:r w:rsidR="007041A1" w:rsidRPr="007041A1">
        <w:t>. Alternate Step 1 and 2 thresholds.</w:t>
      </w:r>
    </w:p>
    <w:tbl>
      <w:tblPr>
        <w:tblStyle w:val="TableGrid"/>
        <w:tblW w:w="0" w:type="auto"/>
        <w:tblLook w:val="04A0" w:firstRow="1" w:lastRow="0" w:firstColumn="1" w:lastColumn="0" w:noHBand="0" w:noVBand="1"/>
      </w:tblPr>
      <w:tblGrid>
        <w:gridCol w:w="3116"/>
        <w:gridCol w:w="3117"/>
        <w:gridCol w:w="3117"/>
      </w:tblGrid>
      <w:tr w:rsidR="00505D78" w14:paraId="1CBAF094" w14:textId="77777777" w:rsidTr="002B2976">
        <w:tc>
          <w:tcPr>
            <w:tcW w:w="3116" w:type="dxa"/>
            <w:shd w:val="clear" w:color="auto" w:fill="D9D9D9" w:themeFill="background1" w:themeFillShade="D9"/>
          </w:tcPr>
          <w:p w14:paraId="39F076C7" w14:textId="38A93508" w:rsidR="00505D78" w:rsidRPr="00726698" w:rsidRDefault="00505D78" w:rsidP="00A44425">
            <w:pPr>
              <w:rPr>
                <w:b/>
                <w:bCs/>
              </w:rPr>
            </w:pPr>
            <w:r w:rsidRPr="00726698">
              <w:rPr>
                <w:b/>
                <w:bCs/>
              </w:rPr>
              <w:t>Test Type</w:t>
            </w:r>
          </w:p>
        </w:tc>
        <w:tc>
          <w:tcPr>
            <w:tcW w:w="3117" w:type="dxa"/>
            <w:shd w:val="clear" w:color="auto" w:fill="D9D9D9" w:themeFill="background1" w:themeFillShade="D9"/>
          </w:tcPr>
          <w:p w14:paraId="590977A0" w14:textId="284CBCF8" w:rsidR="00505D78" w:rsidRPr="00726698" w:rsidRDefault="00505D78" w:rsidP="002B2976">
            <w:pPr>
              <w:jc w:val="center"/>
              <w:rPr>
                <w:b/>
                <w:bCs/>
              </w:rPr>
            </w:pPr>
            <w:r w:rsidRPr="00726698">
              <w:rPr>
                <w:b/>
                <w:bCs/>
              </w:rPr>
              <w:t>Dry Weight</w:t>
            </w:r>
          </w:p>
        </w:tc>
        <w:tc>
          <w:tcPr>
            <w:tcW w:w="3117" w:type="dxa"/>
            <w:shd w:val="clear" w:color="auto" w:fill="D9D9D9" w:themeFill="background1" w:themeFillShade="D9"/>
          </w:tcPr>
          <w:p w14:paraId="5B3F0BF7" w14:textId="31723BAF" w:rsidR="00505D78" w:rsidRPr="002B2976" w:rsidRDefault="00505D78" w:rsidP="002B2976">
            <w:pPr>
              <w:jc w:val="center"/>
              <w:rPr>
                <w:b/>
                <w:bCs/>
              </w:rPr>
            </w:pPr>
            <w:r w:rsidRPr="00726698">
              <w:rPr>
                <w:b/>
                <w:bCs/>
              </w:rPr>
              <w:t>Shoot Height</w:t>
            </w:r>
          </w:p>
        </w:tc>
      </w:tr>
      <w:tr w:rsidR="00505D78" w14:paraId="38A1BF6A" w14:textId="77777777" w:rsidTr="00505D78">
        <w:tc>
          <w:tcPr>
            <w:tcW w:w="3116" w:type="dxa"/>
          </w:tcPr>
          <w:p w14:paraId="4AAC1C2E" w14:textId="40E90D1E" w:rsidR="00505D78" w:rsidRDefault="00505D78" w:rsidP="00A44425">
            <w:r>
              <w:t>Vegetative Vigor</w:t>
            </w:r>
          </w:p>
        </w:tc>
        <w:tc>
          <w:tcPr>
            <w:tcW w:w="3117" w:type="dxa"/>
          </w:tcPr>
          <w:p w14:paraId="47C1F650" w14:textId="01263F79" w:rsidR="00505D78" w:rsidRDefault="00505D78" w:rsidP="002B2976">
            <w:pPr>
              <w:jc w:val="center"/>
            </w:pPr>
            <w:r>
              <w:t>IC</w:t>
            </w:r>
            <w:r w:rsidRPr="002B2976">
              <w:rPr>
                <w:vertAlign w:val="subscript"/>
              </w:rPr>
              <w:t>15</w:t>
            </w:r>
          </w:p>
        </w:tc>
        <w:tc>
          <w:tcPr>
            <w:tcW w:w="3117" w:type="dxa"/>
          </w:tcPr>
          <w:p w14:paraId="77134096" w14:textId="058D154B" w:rsidR="00505D78" w:rsidRDefault="00505D78" w:rsidP="002B2976">
            <w:pPr>
              <w:jc w:val="center"/>
            </w:pPr>
            <w:r>
              <w:t>IC</w:t>
            </w:r>
            <w:r w:rsidRPr="002B2976">
              <w:rPr>
                <w:vertAlign w:val="subscript"/>
              </w:rPr>
              <w:t>10</w:t>
            </w:r>
          </w:p>
        </w:tc>
      </w:tr>
      <w:tr w:rsidR="00505D78" w14:paraId="75E8F8AB" w14:textId="77777777" w:rsidTr="00505D78">
        <w:tc>
          <w:tcPr>
            <w:tcW w:w="3116" w:type="dxa"/>
          </w:tcPr>
          <w:p w14:paraId="30392857" w14:textId="488F1DA7" w:rsidR="00505D78" w:rsidRDefault="00505D78" w:rsidP="00A44425">
            <w:r>
              <w:t>Seedling Emergence</w:t>
            </w:r>
          </w:p>
        </w:tc>
        <w:tc>
          <w:tcPr>
            <w:tcW w:w="3117" w:type="dxa"/>
          </w:tcPr>
          <w:p w14:paraId="1BCD5B7D" w14:textId="189B482B" w:rsidR="00505D78" w:rsidRDefault="00505D78" w:rsidP="002B2976">
            <w:pPr>
              <w:jc w:val="center"/>
            </w:pPr>
            <w:r>
              <w:t>IC</w:t>
            </w:r>
            <w:r w:rsidRPr="002B2976">
              <w:rPr>
                <w:vertAlign w:val="subscript"/>
              </w:rPr>
              <w:t>20</w:t>
            </w:r>
          </w:p>
        </w:tc>
        <w:tc>
          <w:tcPr>
            <w:tcW w:w="3117" w:type="dxa"/>
          </w:tcPr>
          <w:p w14:paraId="303B81A2" w14:textId="1B085BAA" w:rsidR="00505D78" w:rsidRDefault="00505D78" w:rsidP="002B2976">
            <w:pPr>
              <w:jc w:val="center"/>
            </w:pPr>
            <w:r>
              <w:t>IC</w:t>
            </w:r>
            <w:r w:rsidRPr="002B2976">
              <w:rPr>
                <w:vertAlign w:val="subscript"/>
              </w:rPr>
              <w:t>10</w:t>
            </w:r>
          </w:p>
        </w:tc>
      </w:tr>
    </w:tbl>
    <w:p w14:paraId="6FA91EE1" w14:textId="4612A1D6" w:rsidR="00C3646C" w:rsidRDefault="00C3646C" w:rsidP="00A44425"/>
    <w:p w14:paraId="53D77192" w14:textId="2464B2DE" w:rsidR="00C3646C" w:rsidRPr="007041A1" w:rsidRDefault="00C3646C" w:rsidP="007041A1">
      <w:pPr>
        <w:spacing w:after="0" w:line="240" w:lineRule="auto"/>
        <w:rPr>
          <w:rFonts w:eastAsiaTheme="minorEastAsia"/>
        </w:rPr>
      </w:pPr>
      <w:r w:rsidRPr="00165122">
        <w:rPr>
          <w:rFonts w:eastAsiaTheme="minorEastAsia"/>
          <w:b/>
        </w:rPr>
        <w:t>Chapter 2</w:t>
      </w:r>
      <w:r w:rsidRPr="001561C2">
        <w:rPr>
          <w:rFonts w:eastAsiaTheme="minorEastAsia"/>
        </w:rPr>
        <w:t xml:space="preserve"> of this BE includes </w:t>
      </w:r>
      <w:r w:rsidR="00F21192">
        <w:rPr>
          <w:rFonts w:eastAsiaTheme="minorEastAsia"/>
        </w:rPr>
        <w:t>atrazine</w:t>
      </w:r>
      <w:r w:rsidRPr="001561C2">
        <w:rPr>
          <w:rFonts w:eastAsiaTheme="minorEastAsia"/>
        </w:rPr>
        <w:t xml:space="preserve">’s toxicity endpoints and </w:t>
      </w:r>
      <w:r w:rsidRPr="00165122">
        <w:rPr>
          <w:rFonts w:eastAsiaTheme="minorEastAsia"/>
          <w:b/>
        </w:rPr>
        <w:t>Chapter 3</w:t>
      </w:r>
      <w:r w:rsidRPr="001561C2">
        <w:rPr>
          <w:rFonts w:eastAsiaTheme="minorEastAsia"/>
        </w:rPr>
        <w:t xml:space="preserve"> includes the exposure analysis. These toxicity endpoints and exposure estimates are used in Step</w:t>
      </w:r>
      <w:r>
        <w:rPr>
          <w:rFonts w:eastAsiaTheme="minorEastAsia"/>
        </w:rPr>
        <w:t>s</w:t>
      </w:r>
      <w:r w:rsidRPr="001561C2">
        <w:rPr>
          <w:rFonts w:eastAsiaTheme="minorEastAsia"/>
        </w:rPr>
        <w:t xml:space="preserve"> 1 and 2. </w:t>
      </w:r>
      <w:r w:rsidRPr="00427DEC">
        <w:rPr>
          <w:rFonts w:eastAsiaTheme="minorEastAsia"/>
          <w:b/>
        </w:rPr>
        <w:t>Chapter 2</w:t>
      </w:r>
      <w:r>
        <w:rPr>
          <w:rFonts w:eastAsiaTheme="minorEastAsia"/>
        </w:rPr>
        <w:t xml:space="preserve"> also summarizes incident reports that are associated with applications of </w:t>
      </w:r>
      <w:r w:rsidR="00F21192">
        <w:rPr>
          <w:rFonts w:eastAsiaTheme="minorEastAsia"/>
        </w:rPr>
        <w:t>atrazine</w:t>
      </w:r>
      <w:r>
        <w:rPr>
          <w:rFonts w:eastAsiaTheme="minorEastAsia"/>
        </w:rPr>
        <w:t xml:space="preserve"> (incident reports associated with illegal uses or misuses are not included in the assessment). </w:t>
      </w:r>
      <w:r w:rsidRPr="00427DEC">
        <w:rPr>
          <w:rFonts w:eastAsiaTheme="minorEastAsia"/>
          <w:b/>
        </w:rPr>
        <w:t>Chapter 3</w:t>
      </w:r>
      <w:r>
        <w:rPr>
          <w:rFonts w:eastAsiaTheme="minorEastAsia"/>
        </w:rPr>
        <w:t xml:space="preserve"> summarizes available monitoring data. </w:t>
      </w:r>
      <w:r w:rsidRPr="0023583F">
        <w:rPr>
          <w:rFonts w:eastAsiaTheme="minorEastAsia"/>
          <w:b/>
        </w:rPr>
        <w:t>Chapter 4</w:t>
      </w:r>
      <w:r w:rsidRPr="001561C2">
        <w:rPr>
          <w:rFonts w:eastAsiaTheme="minorEastAsia"/>
        </w:rPr>
        <w:t xml:space="preserve"> includes the species and critical habitat</w:t>
      </w:r>
      <w:r>
        <w:rPr>
          <w:rFonts w:eastAsiaTheme="minorEastAsia"/>
        </w:rPr>
        <w:t>-</w:t>
      </w:r>
      <w:r w:rsidRPr="001561C2">
        <w:rPr>
          <w:rFonts w:eastAsiaTheme="minorEastAsia"/>
        </w:rPr>
        <w:t>specific determinations</w:t>
      </w:r>
      <w:r>
        <w:rPr>
          <w:rFonts w:eastAsiaTheme="minorEastAsia"/>
        </w:rPr>
        <w:t xml:space="preserve"> for </w:t>
      </w:r>
      <w:r w:rsidR="00F21192">
        <w:rPr>
          <w:rFonts w:eastAsiaTheme="minorEastAsia"/>
        </w:rPr>
        <w:t>atrazine</w:t>
      </w:r>
      <w:r w:rsidRPr="001561C2">
        <w:rPr>
          <w:rFonts w:eastAsiaTheme="minorEastAsia"/>
        </w:rPr>
        <w:t>.</w:t>
      </w:r>
      <w:r>
        <w:rPr>
          <w:rFonts w:eastAsiaTheme="minorEastAsia"/>
        </w:rPr>
        <w:t xml:space="preserve"> For exposure in terrestrial habitats, the MAGtool</w:t>
      </w:r>
      <w:r>
        <w:rPr>
          <w:rStyle w:val="FootnoteReference"/>
          <w:rFonts w:eastAsiaTheme="minorEastAsia"/>
        </w:rPr>
        <w:footnoteReference w:id="7"/>
      </w:r>
      <w:r>
        <w:rPr>
          <w:rFonts w:eastAsiaTheme="minorEastAsia"/>
        </w:rPr>
        <w:t xml:space="preserve"> (version 2.2) is used (additional details in </w:t>
      </w:r>
      <w:r w:rsidRPr="00026C6E">
        <w:rPr>
          <w:rFonts w:eastAsiaTheme="minorEastAsia"/>
          <w:b/>
        </w:rPr>
        <w:t>A</w:t>
      </w:r>
      <w:r>
        <w:rPr>
          <w:rFonts w:eastAsiaTheme="minorEastAsia"/>
          <w:b/>
        </w:rPr>
        <w:t>TTACHMENT</w:t>
      </w:r>
      <w:r w:rsidRPr="00026C6E">
        <w:rPr>
          <w:rFonts w:eastAsiaTheme="minorEastAsia"/>
          <w:b/>
        </w:rPr>
        <w:t xml:space="preserve"> 1-1</w:t>
      </w:r>
      <w:r w:rsidRPr="00026C6E">
        <w:rPr>
          <w:rFonts w:eastAsiaTheme="minorEastAsia"/>
        </w:rPr>
        <w:t xml:space="preserve"> and tool documentation</w:t>
      </w:r>
      <w:r>
        <w:rPr>
          <w:rFonts w:eastAsiaTheme="minorEastAsia"/>
        </w:rPr>
        <w:t>).</w:t>
      </w:r>
      <w:r w:rsidRPr="001561C2">
        <w:rPr>
          <w:rFonts w:eastAsiaTheme="minorEastAsia"/>
        </w:rPr>
        <w:t xml:space="preserve"> </w:t>
      </w:r>
      <w:r>
        <w:rPr>
          <w:rFonts w:eastAsiaTheme="minorEastAsia"/>
        </w:rPr>
        <w:t xml:space="preserve">For aquatic habitats, exposure is estimated using the Pesticide in Water Calculator </w:t>
      </w:r>
      <w:r>
        <w:rPr>
          <w:rFonts w:eastAsiaTheme="minorEastAsia"/>
        </w:rPr>
        <w:lastRenderedPageBreak/>
        <w:t>(PWC; version 1.52</w:t>
      </w:r>
      <w:r>
        <w:rPr>
          <w:rStyle w:val="FootnoteReference"/>
          <w:rFonts w:eastAsiaTheme="minorEastAsia"/>
        </w:rPr>
        <w:footnoteReference w:id="8"/>
      </w:r>
      <w:r>
        <w:rPr>
          <w:rFonts w:eastAsiaTheme="minorEastAsia"/>
        </w:rPr>
        <w:t xml:space="preserve">). Aquatic scenarios (referred to as “bins”) used to estimate exposures for each listed species with aquatic habitats are provided in </w:t>
      </w:r>
      <w:r w:rsidRPr="00026C6E">
        <w:rPr>
          <w:rFonts w:eastAsiaTheme="minorEastAsia"/>
          <w:b/>
        </w:rPr>
        <w:t>A</w:t>
      </w:r>
      <w:r>
        <w:rPr>
          <w:rFonts w:eastAsiaTheme="minorEastAsia"/>
          <w:b/>
        </w:rPr>
        <w:t>TTACHMENT</w:t>
      </w:r>
      <w:r w:rsidRPr="00026C6E">
        <w:rPr>
          <w:rFonts w:eastAsiaTheme="minorEastAsia"/>
          <w:b/>
        </w:rPr>
        <w:t xml:space="preserve"> 1-</w:t>
      </w:r>
      <w:r w:rsidR="00AD187E">
        <w:rPr>
          <w:rFonts w:eastAsiaTheme="minorEastAsia"/>
          <w:b/>
        </w:rPr>
        <w:t>2</w:t>
      </w:r>
      <w:r w:rsidRPr="00026C6E">
        <w:rPr>
          <w:rFonts w:eastAsiaTheme="minorEastAsia"/>
          <w:b/>
        </w:rPr>
        <w:t>.</w:t>
      </w:r>
      <w:r>
        <w:rPr>
          <w:rFonts w:eastAsiaTheme="minorEastAsia"/>
          <w:b/>
        </w:rPr>
        <w:t xml:space="preserve"> </w:t>
      </w:r>
      <w:r w:rsidR="00082821">
        <w:rPr>
          <w:rFonts w:eastAsiaTheme="minorEastAsia"/>
          <w:bCs/>
        </w:rPr>
        <w:t xml:space="preserve">For plants, exposure is estimated using PAT. </w:t>
      </w:r>
      <w:r>
        <w:rPr>
          <w:rFonts w:eastAsiaTheme="minorEastAsia"/>
        </w:rPr>
        <w:t xml:space="preserve">The MAGtool is used to integrate exposure, effects, and listed species life history information in order to make NE, NLAA and LAA determinations. </w:t>
      </w:r>
    </w:p>
    <w:sectPr w:rsidR="00C3646C" w:rsidRPr="007041A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1CD72F" w16cex:dateUtc="2020-09-29T01:42:00Z"/>
  <w16cex:commentExtensible w16cex:durableId="63642F7A" w16cex:dateUtc="2020-09-25T17:35:00Z"/>
  <w16cex:commentExtensible w16cex:durableId="231CD989" w16cex:dateUtc="2020-09-29T01:52:00Z"/>
  <w16cex:commentExtensible w16cex:durableId="231CD99C" w16cex:dateUtc="2020-09-29T01:52:00Z"/>
  <w16cex:commentExtensible w16cex:durableId="231CDA8C" w16cex:dateUtc="2020-09-29T01:56:00Z"/>
  <w16cex:commentExtensible w16cex:durableId="448CCDD4" w16cex:dateUtc="2020-09-29T12:37:11.5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8179" w14:textId="77777777" w:rsidR="00D73B7F" w:rsidRDefault="00D73B7F" w:rsidP="006A290E">
      <w:pPr>
        <w:spacing w:after="0" w:line="240" w:lineRule="auto"/>
      </w:pPr>
      <w:r>
        <w:separator/>
      </w:r>
    </w:p>
  </w:endnote>
  <w:endnote w:type="continuationSeparator" w:id="0">
    <w:p w14:paraId="0E165C30" w14:textId="77777777" w:rsidR="00D73B7F" w:rsidRDefault="00D73B7F" w:rsidP="006A290E">
      <w:pPr>
        <w:spacing w:after="0" w:line="240" w:lineRule="auto"/>
      </w:pPr>
      <w:r>
        <w:continuationSeparator/>
      </w:r>
    </w:p>
  </w:endnote>
  <w:endnote w:type="continuationNotice" w:id="1">
    <w:p w14:paraId="1D84D29C" w14:textId="77777777" w:rsidR="00D73B7F" w:rsidRDefault="00D73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920F" w14:textId="30521D38" w:rsidR="0082363B" w:rsidRDefault="0082363B">
    <w:pPr>
      <w:pStyle w:val="Footer"/>
      <w:jc w:val="center"/>
    </w:pPr>
    <w:r>
      <w:t>1-</w:t>
    </w:r>
    <w:sdt>
      <w:sdtPr>
        <w:id w:val="-18986663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CD7043" w14:textId="77777777" w:rsidR="0082363B" w:rsidRDefault="0082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C766" w14:textId="77777777" w:rsidR="00D73B7F" w:rsidRDefault="00D73B7F" w:rsidP="006A290E">
      <w:pPr>
        <w:spacing w:after="0" w:line="240" w:lineRule="auto"/>
      </w:pPr>
      <w:r>
        <w:separator/>
      </w:r>
    </w:p>
  </w:footnote>
  <w:footnote w:type="continuationSeparator" w:id="0">
    <w:p w14:paraId="421ED6C3" w14:textId="77777777" w:rsidR="00D73B7F" w:rsidRDefault="00D73B7F" w:rsidP="006A290E">
      <w:pPr>
        <w:spacing w:after="0" w:line="240" w:lineRule="auto"/>
      </w:pPr>
      <w:r>
        <w:continuationSeparator/>
      </w:r>
    </w:p>
  </w:footnote>
  <w:footnote w:type="continuationNotice" w:id="1">
    <w:p w14:paraId="12381EE7" w14:textId="77777777" w:rsidR="00D73B7F" w:rsidRDefault="00D73B7F">
      <w:pPr>
        <w:spacing w:after="0" w:line="240" w:lineRule="auto"/>
      </w:pPr>
    </w:p>
  </w:footnote>
  <w:footnote w:id="2">
    <w:p w14:paraId="069FF3AF" w14:textId="77777777" w:rsidR="003B7222" w:rsidRDefault="003B7222" w:rsidP="006A290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543254" w14:textId="3D77DBD5" w:rsidR="003B7222" w:rsidRDefault="003B7222" w:rsidP="006A290E">
      <w:pPr>
        <w:pStyle w:val="FootnoteText"/>
      </w:pPr>
      <w:r>
        <w:rPr>
          <w:rStyle w:val="FootnoteReference"/>
        </w:rPr>
        <w:footnoteRef/>
      </w:r>
      <w:r>
        <w:t xml:space="preserve"> </w:t>
      </w:r>
      <w:r w:rsidR="00F21192">
        <w:rPr>
          <w:rFonts w:asciiTheme="minorHAnsi" w:hAnsiTheme="minorHAnsi" w:cstheme="minorHAnsi"/>
        </w:rPr>
        <w:t>Atrazine</w:t>
      </w:r>
      <w:r w:rsidRPr="00354AFC">
        <w:rPr>
          <w:rFonts w:asciiTheme="minorHAnsi" w:hAnsiTheme="minorHAnsi" w:cstheme="minorHAnsi"/>
        </w:rPr>
        <w:t xml:space="preserve"> Registration Review Docket Folder. </w:t>
      </w:r>
      <w:hyperlink r:id="rId2" w:history="1">
        <w:r w:rsidRPr="000C192B">
          <w:rPr>
            <w:rStyle w:val="Hyperlink"/>
          </w:rPr>
          <w:t>https://www.regulations.gov/docket?D=EPA-HQ-OPP-2013-0251-0002</w:t>
        </w:r>
      </w:hyperlink>
    </w:p>
  </w:footnote>
  <w:footnote w:id="4">
    <w:p w14:paraId="29804112" w14:textId="59564FA7" w:rsidR="003B7222" w:rsidRDefault="003B7222" w:rsidP="00B36467">
      <w:pPr>
        <w:pStyle w:val="EndNoteBibliography"/>
        <w:spacing w:after="0"/>
      </w:pPr>
    </w:p>
  </w:footnote>
  <w:footnote w:id="5">
    <w:p w14:paraId="7EB0AEE5" w14:textId="77777777" w:rsidR="003B7222" w:rsidRDefault="003B7222" w:rsidP="006A290E">
      <w:pPr>
        <w:pStyle w:val="FootnoteText"/>
      </w:pPr>
      <w:r>
        <w:rPr>
          <w:rStyle w:val="FootnoteReference"/>
        </w:rPr>
        <w:footnoteRef/>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6">
    <w:p w14:paraId="5B328E10" w14:textId="77777777" w:rsidR="003B7222" w:rsidRDefault="003B7222" w:rsidP="006A290E">
      <w:pPr>
        <w:pStyle w:val="FootnoteText"/>
      </w:pPr>
      <w:r>
        <w:rPr>
          <w:rStyle w:val="FootnoteReference"/>
        </w:rPr>
        <w:footnoteRef/>
      </w:r>
      <w:r>
        <w:t xml:space="preserve"> Categories include: corn, cotton, rice, soybeans, wheat, vegetables and ground fruit, other grains, other row crops, other crops, pasture/hay, citrus, vineyards and other orchards.</w:t>
      </w:r>
    </w:p>
  </w:footnote>
  <w:footnote w:id="7">
    <w:p w14:paraId="7DAB46D7" w14:textId="73E04E88" w:rsidR="003B7222" w:rsidRPr="000A4575" w:rsidRDefault="003B7222" w:rsidP="00C3646C">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4" w:history="1">
        <w:r w:rsidRPr="00DE3C95">
          <w:rPr>
            <w:rStyle w:val="Hyperlink"/>
          </w:rPr>
          <w:t>https://www.epa.gov/endangered-species/models-and-tools-endangered-species-pesticide-assessments</w:t>
        </w:r>
      </w:hyperlink>
      <w:r w:rsidRPr="00E65520">
        <w:t xml:space="preserve"> (Accessed </w:t>
      </w:r>
      <w:r w:rsidR="006458E6">
        <w:t>September</w:t>
      </w:r>
      <w:r w:rsidRPr="00DE3C95">
        <w:t xml:space="preserve"> 2020).</w:t>
      </w:r>
    </w:p>
  </w:footnote>
  <w:footnote w:id="8">
    <w:p w14:paraId="2EC997A0" w14:textId="1201880E" w:rsidR="003B7222" w:rsidRDefault="003B7222" w:rsidP="00C3646C">
      <w:pPr>
        <w:pStyle w:val="FootnoteText"/>
      </w:pPr>
      <w:r w:rsidRPr="00E65520">
        <w:rPr>
          <w:rStyle w:val="FootnoteReference"/>
        </w:rPr>
        <w:footnoteRef/>
      </w:r>
      <w:r w:rsidRPr="00E65520">
        <w:t xml:space="preserve"> Available online at: </w:t>
      </w:r>
      <w:hyperlink r:id="rId5"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sidR="006458E6">
        <w:rPr>
          <w:rStyle w:val="Hyperlink"/>
          <w:color w:val="000000" w:themeColor="text1"/>
        </w:rPr>
        <w:t>A</w:t>
      </w:r>
      <w:r w:rsidRPr="00626DEF">
        <w:rPr>
          <w:rStyle w:val="Hyperlink"/>
          <w:color w:val="000000" w:themeColor="text1"/>
        </w:rPr>
        <w:t xml:space="preserve">ccessed </w:t>
      </w:r>
      <w:r w:rsidR="006458E6">
        <w:rPr>
          <w:rStyle w:val="Hyperlink"/>
          <w:color w:val="000000" w:themeColor="text1"/>
        </w:rPr>
        <w:t>September</w:t>
      </w:r>
      <w:r w:rsidRPr="00626DEF">
        <w:rPr>
          <w:rStyle w:val="Hyperlink"/>
          <w:color w:val="000000" w:themeColor="text1"/>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VeGAwHkF2+d8ZR9LnV9D5RQW9j1cU/lvxYfhwStrfA3N5kf2balGP8l4ip8Jio/ed000dwyhFLbEpsz1+Xwvyg==" w:salt="sFDzXAy15kp1/8G4yjqZW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143EE"/>
    <w:rsid w:val="00030782"/>
    <w:rsid w:val="00031F9D"/>
    <w:rsid w:val="000352D7"/>
    <w:rsid w:val="000505DA"/>
    <w:rsid w:val="00050A4F"/>
    <w:rsid w:val="00052792"/>
    <w:rsid w:val="000571B9"/>
    <w:rsid w:val="00080AEA"/>
    <w:rsid w:val="00082821"/>
    <w:rsid w:val="00090073"/>
    <w:rsid w:val="000B33A8"/>
    <w:rsid w:val="000B78D9"/>
    <w:rsid w:val="000C2E01"/>
    <w:rsid w:val="000D02C9"/>
    <w:rsid w:val="000D6FC6"/>
    <w:rsid w:val="000E75C7"/>
    <w:rsid w:val="000F2A33"/>
    <w:rsid w:val="000F6F4D"/>
    <w:rsid w:val="0013056E"/>
    <w:rsid w:val="00131878"/>
    <w:rsid w:val="00136CD9"/>
    <w:rsid w:val="00150200"/>
    <w:rsid w:val="00171697"/>
    <w:rsid w:val="001A4210"/>
    <w:rsid w:val="001B207F"/>
    <w:rsid w:val="001E26A3"/>
    <w:rsid w:val="001F4995"/>
    <w:rsid w:val="0020264B"/>
    <w:rsid w:val="00203615"/>
    <w:rsid w:val="00213AAE"/>
    <w:rsid w:val="00222448"/>
    <w:rsid w:val="00225B36"/>
    <w:rsid w:val="00232DAB"/>
    <w:rsid w:val="00242BD2"/>
    <w:rsid w:val="0026752D"/>
    <w:rsid w:val="00267DDE"/>
    <w:rsid w:val="00267FBF"/>
    <w:rsid w:val="0028019E"/>
    <w:rsid w:val="002813F0"/>
    <w:rsid w:val="002943BA"/>
    <w:rsid w:val="002A434C"/>
    <w:rsid w:val="002B05D9"/>
    <w:rsid w:val="002B2976"/>
    <w:rsid w:val="002C68FA"/>
    <w:rsid w:val="002E78A9"/>
    <w:rsid w:val="002F19C7"/>
    <w:rsid w:val="002F699E"/>
    <w:rsid w:val="0032380F"/>
    <w:rsid w:val="003427AF"/>
    <w:rsid w:val="00342A2C"/>
    <w:rsid w:val="003516E7"/>
    <w:rsid w:val="00357346"/>
    <w:rsid w:val="00357792"/>
    <w:rsid w:val="00386D7F"/>
    <w:rsid w:val="00387EB7"/>
    <w:rsid w:val="00394073"/>
    <w:rsid w:val="00394C53"/>
    <w:rsid w:val="003A3DC7"/>
    <w:rsid w:val="003A4E9D"/>
    <w:rsid w:val="003B7061"/>
    <w:rsid w:val="003B7222"/>
    <w:rsid w:val="003D15AA"/>
    <w:rsid w:val="003D666A"/>
    <w:rsid w:val="003E2E0E"/>
    <w:rsid w:val="003F2F8F"/>
    <w:rsid w:val="00412FAE"/>
    <w:rsid w:val="00414C8C"/>
    <w:rsid w:val="00423D1C"/>
    <w:rsid w:val="00440EC9"/>
    <w:rsid w:val="004A0904"/>
    <w:rsid w:val="004C71A0"/>
    <w:rsid w:val="004C75CE"/>
    <w:rsid w:val="004D293B"/>
    <w:rsid w:val="004D5FA7"/>
    <w:rsid w:val="004F3E09"/>
    <w:rsid w:val="004F7B24"/>
    <w:rsid w:val="005046AB"/>
    <w:rsid w:val="00505D78"/>
    <w:rsid w:val="00540C9F"/>
    <w:rsid w:val="005569CD"/>
    <w:rsid w:val="00573D11"/>
    <w:rsid w:val="00596293"/>
    <w:rsid w:val="005C58D8"/>
    <w:rsid w:val="005D618A"/>
    <w:rsid w:val="005D651A"/>
    <w:rsid w:val="005E43FF"/>
    <w:rsid w:val="005F41DE"/>
    <w:rsid w:val="00614E8D"/>
    <w:rsid w:val="0062201D"/>
    <w:rsid w:val="00623C31"/>
    <w:rsid w:val="006439BC"/>
    <w:rsid w:val="006458E6"/>
    <w:rsid w:val="00655632"/>
    <w:rsid w:val="00686FD5"/>
    <w:rsid w:val="006A09BD"/>
    <w:rsid w:val="006A290E"/>
    <w:rsid w:val="006B4676"/>
    <w:rsid w:val="006C1D6B"/>
    <w:rsid w:val="006C408C"/>
    <w:rsid w:val="006D5E38"/>
    <w:rsid w:val="006D7DEC"/>
    <w:rsid w:val="006E17FD"/>
    <w:rsid w:val="006E482A"/>
    <w:rsid w:val="007041A1"/>
    <w:rsid w:val="0070428D"/>
    <w:rsid w:val="00726698"/>
    <w:rsid w:val="0073644D"/>
    <w:rsid w:val="00740745"/>
    <w:rsid w:val="00763DCE"/>
    <w:rsid w:val="0077793B"/>
    <w:rsid w:val="0078053A"/>
    <w:rsid w:val="007811E2"/>
    <w:rsid w:val="00792060"/>
    <w:rsid w:val="007F50CE"/>
    <w:rsid w:val="00807F4D"/>
    <w:rsid w:val="0082018B"/>
    <w:rsid w:val="008201C9"/>
    <w:rsid w:val="0082363B"/>
    <w:rsid w:val="00853852"/>
    <w:rsid w:val="00855C19"/>
    <w:rsid w:val="00891CEC"/>
    <w:rsid w:val="008C0AEA"/>
    <w:rsid w:val="008D0CBF"/>
    <w:rsid w:val="008E262B"/>
    <w:rsid w:val="008F147B"/>
    <w:rsid w:val="009057CE"/>
    <w:rsid w:val="009367ED"/>
    <w:rsid w:val="00961179"/>
    <w:rsid w:val="00967510"/>
    <w:rsid w:val="009A1DA8"/>
    <w:rsid w:val="009B2013"/>
    <w:rsid w:val="009B4370"/>
    <w:rsid w:val="009C01EA"/>
    <w:rsid w:val="009D0006"/>
    <w:rsid w:val="009E2056"/>
    <w:rsid w:val="009E2E26"/>
    <w:rsid w:val="009E3EFF"/>
    <w:rsid w:val="009F6658"/>
    <w:rsid w:val="00A0425D"/>
    <w:rsid w:val="00A1501B"/>
    <w:rsid w:val="00A264F9"/>
    <w:rsid w:val="00A32A99"/>
    <w:rsid w:val="00A443AD"/>
    <w:rsid w:val="00A44425"/>
    <w:rsid w:val="00A64A36"/>
    <w:rsid w:val="00A909F1"/>
    <w:rsid w:val="00AC0086"/>
    <w:rsid w:val="00AD187E"/>
    <w:rsid w:val="00AE1836"/>
    <w:rsid w:val="00B1527F"/>
    <w:rsid w:val="00B16D24"/>
    <w:rsid w:val="00B36467"/>
    <w:rsid w:val="00B62AF6"/>
    <w:rsid w:val="00B67804"/>
    <w:rsid w:val="00B90C96"/>
    <w:rsid w:val="00BB2E95"/>
    <w:rsid w:val="00BB6869"/>
    <w:rsid w:val="00BE04DA"/>
    <w:rsid w:val="00BE105A"/>
    <w:rsid w:val="00BF27EC"/>
    <w:rsid w:val="00C0167F"/>
    <w:rsid w:val="00C05A73"/>
    <w:rsid w:val="00C06EA4"/>
    <w:rsid w:val="00C218E4"/>
    <w:rsid w:val="00C3646C"/>
    <w:rsid w:val="00C4422B"/>
    <w:rsid w:val="00C85E72"/>
    <w:rsid w:val="00C93E39"/>
    <w:rsid w:val="00CA3DA9"/>
    <w:rsid w:val="00CB5542"/>
    <w:rsid w:val="00CB6BCF"/>
    <w:rsid w:val="00CC0C45"/>
    <w:rsid w:val="00CF2102"/>
    <w:rsid w:val="00CF3DD9"/>
    <w:rsid w:val="00D34763"/>
    <w:rsid w:val="00D40F53"/>
    <w:rsid w:val="00D62018"/>
    <w:rsid w:val="00D64951"/>
    <w:rsid w:val="00D7017B"/>
    <w:rsid w:val="00D73B7F"/>
    <w:rsid w:val="00D956E3"/>
    <w:rsid w:val="00DA34DF"/>
    <w:rsid w:val="00DA7296"/>
    <w:rsid w:val="00DB4E4E"/>
    <w:rsid w:val="00DC7334"/>
    <w:rsid w:val="00DD670A"/>
    <w:rsid w:val="00DE60BA"/>
    <w:rsid w:val="00E05CF2"/>
    <w:rsid w:val="00E172DF"/>
    <w:rsid w:val="00E31429"/>
    <w:rsid w:val="00E315D0"/>
    <w:rsid w:val="00E520CC"/>
    <w:rsid w:val="00E71776"/>
    <w:rsid w:val="00E72016"/>
    <w:rsid w:val="00E74413"/>
    <w:rsid w:val="00E76CEA"/>
    <w:rsid w:val="00E83AE1"/>
    <w:rsid w:val="00EB7CA0"/>
    <w:rsid w:val="00EC03E3"/>
    <w:rsid w:val="00EF607C"/>
    <w:rsid w:val="00EF6E79"/>
    <w:rsid w:val="00F00969"/>
    <w:rsid w:val="00F03815"/>
    <w:rsid w:val="00F17499"/>
    <w:rsid w:val="00F21192"/>
    <w:rsid w:val="00F452B8"/>
    <w:rsid w:val="00F51C71"/>
    <w:rsid w:val="00F64EC5"/>
    <w:rsid w:val="00F71AC6"/>
    <w:rsid w:val="00F94FD1"/>
    <w:rsid w:val="00FC6DED"/>
    <w:rsid w:val="00FE1986"/>
    <w:rsid w:val="00FF3B9C"/>
    <w:rsid w:val="00FF5002"/>
    <w:rsid w:val="0264A976"/>
    <w:rsid w:val="0A1B2EF4"/>
    <w:rsid w:val="0D8135FA"/>
    <w:rsid w:val="0FE43A6F"/>
    <w:rsid w:val="140762A8"/>
    <w:rsid w:val="14B3A7CF"/>
    <w:rsid w:val="17F5269C"/>
    <w:rsid w:val="25B67DFB"/>
    <w:rsid w:val="2C479FF8"/>
    <w:rsid w:val="2F487A94"/>
    <w:rsid w:val="342D4198"/>
    <w:rsid w:val="3FD2E743"/>
    <w:rsid w:val="55D5E4A2"/>
    <w:rsid w:val="58DA6099"/>
    <w:rsid w:val="5AC0FE8D"/>
    <w:rsid w:val="5C79E5B7"/>
    <w:rsid w:val="67B31A8B"/>
    <w:rsid w:val="6977BA89"/>
    <w:rsid w:val="6D50E8B1"/>
    <w:rsid w:val="6F2C4B76"/>
    <w:rsid w:val="70EA02AD"/>
    <w:rsid w:val="79D43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35135B0-943C-497E-8C6F-70B5165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6A290E"/>
  </w:style>
  <w:style w:type="paragraph" w:styleId="TOC1">
    <w:name w:val="toc 1"/>
    <w:basedOn w:val="Normal"/>
    <w:next w:val="Normal"/>
    <w:autoRedefine/>
    <w:uiPriority w:val="39"/>
    <w:unhideWhenUsed/>
    <w:rsid w:val="006A290E"/>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customStyle="1" w:styleId="BE-Table">
    <w:name w:val="BE - Table"/>
    <w:basedOn w:val="Caption"/>
    <w:link w:val="BE-TableChar"/>
    <w:qFormat/>
    <w:rsid w:val="00CB5542"/>
    <w:pPr>
      <w:keepNext/>
      <w:widowControl w:val="0"/>
      <w:autoSpaceDE w:val="0"/>
      <w:autoSpaceDN w:val="0"/>
      <w:adjustRightInd w:val="0"/>
      <w:spacing w:before="240" w:after="60"/>
    </w:pPr>
    <w:rPr>
      <w:rFonts w:asciiTheme="minorHAnsi" w:eastAsia="Times New Roman" w:hAnsiTheme="minorHAnsi" w:cs="Times New Roman"/>
      <w:b w:val="0"/>
      <w:bCs w:val="0"/>
      <w:i/>
      <w:iCs/>
      <w:color w:val="auto"/>
      <w:szCs w:val="20"/>
    </w:rPr>
  </w:style>
  <w:style w:type="paragraph" w:styleId="NoSpacing">
    <w:name w:val="No Spacing"/>
    <w:uiPriority w:val="1"/>
    <w:qFormat/>
    <w:rsid w:val="00CB5542"/>
    <w:pPr>
      <w:spacing w:after="0" w:line="240" w:lineRule="auto"/>
    </w:pPr>
    <w:rPr>
      <w:rFonts w:ascii="Calibri" w:eastAsia="Calibri" w:hAnsi="Calibri" w:cs="Calibri"/>
      <w:color w:val="000000"/>
    </w:rPr>
  </w:style>
  <w:style w:type="character" w:customStyle="1" w:styleId="BE-TableChar">
    <w:name w:val="BE - Table Char"/>
    <w:basedOn w:val="DefaultParagraphFont"/>
    <w:link w:val="BE-Table"/>
    <w:rsid w:val="00CB5542"/>
    <w:rPr>
      <w:rFonts w:eastAsia="Times New Roman" w:cs="Times New Roman"/>
      <w:b/>
      <w:bCs/>
      <w:szCs w:val="20"/>
    </w:rPr>
  </w:style>
  <w:style w:type="paragraph" w:styleId="Caption">
    <w:name w:val="caption"/>
    <w:basedOn w:val="Normal"/>
    <w:next w:val="Normal"/>
    <w:uiPriority w:val="35"/>
    <w:unhideWhenUsed/>
    <w:qFormat/>
    <w:rsid w:val="007041A1"/>
    <w:pPr>
      <w:spacing w:after="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3-0251-0002"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Props1.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2.xml><?xml version="1.0" encoding="utf-8"?>
<ds:datastoreItem xmlns:ds="http://schemas.openxmlformats.org/officeDocument/2006/customXml" ds:itemID="{06A8DE55-FF6A-4AF9-904D-F186B4C4CF0F}">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4.xml><?xml version="1.0" encoding="utf-8"?>
<ds:datastoreItem xmlns:ds="http://schemas.openxmlformats.org/officeDocument/2006/customXml" ds:itemID="{22ACB71E-C022-4CE7-8E4D-95E40E3937CC}">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1b69afd8-9bdb-481b-b26a-06cbd17fa30c"/>
    <ds:schemaRef ds:uri="a5d1ca4e-0a3f-4119-b619-e20b93ebd1aa"/>
    <ds:schemaRef ds:uri="http://schemas.microsoft.com/sharepoint/v3/fields"/>
    <ds:schemaRef ds:uri="http://purl.org/dc/terms/"/>
    <ds:schemaRef ds:uri="http://schemas.microsoft.com/sharepoint.v3"/>
    <ds:schemaRef ds:uri="4ffa91fb-a0ff-4ac5-b2db-65c790d184a4"/>
    <ds:schemaRef ds:uri="http://schemas.microsoft.com/sharepoint/v3"/>
    <ds:schemaRef ds:uri="http://purl.org/dc/dcmitype/"/>
  </ds:schemaRefs>
</ds:datastoreItem>
</file>

<file path=customXml/itemProps5.xml><?xml version="1.0" encoding="utf-8"?>
<ds:datastoreItem xmlns:ds="http://schemas.openxmlformats.org/officeDocument/2006/customXml" ds:itemID="{A0A6748D-C0E8-4B2E-ABE4-DF3AC31B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3380</Words>
  <Characters>19268</Characters>
  <Application>Microsoft Office Word</Application>
  <DocSecurity>10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cp:revision>
  <dcterms:created xsi:type="dcterms:W3CDTF">2020-10-21T14:26:00Z</dcterms:created>
  <dcterms:modified xsi:type="dcterms:W3CDTF">2020-10-21T14:26:00Z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