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29DC1D" w14:textId="60AE1C89" w:rsidR="00145AE6" w:rsidRPr="00923CFF" w:rsidRDefault="00923CFF">
      <w:pPr>
        <w:rPr>
          <w:color w:val="4472C4"/>
          <w:sz w:val="32"/>
          <w:szCs w:val="32"/>
        </w:rPr>
      </w:pPr>
      <w:r w:rsidRPr="00923CFF">
        <w:rPr>
          <w:b/>
          <w:color w:val="4472C4"/>
          <w:sz w:val="32"/>
          <w:szCs w:val="32"/>
        </w:rPr>
        <w:t>APPENDIX</w:t>
      </w:r>
      <w:r w:rsidR="00BC456F" w:rsidRPr="00923CFF">
        <w:rPr>
          <w:b/>
          <w:color w:val="4472C4"/>
          <w:sz w:val="32"/>
          <w:szCs w:val="32"/>
        </w:rPr>
        <w:t xml:space="preserve"> 4-</w:t>
      </w:r>
      <w:r w:rsidRPr="00923CFF">
        <w:rPr>
          <w:b/>
          <w:color w:val="4472C4"/>
          <w:sz w:val="32"/>
          <w:szCs w:val="32"/>
        </w:rPr>
        <w:t>5</w:t>
      </w:r>
      <w:r w:rsidR="00BC456F" w:rsidRPr="00923CFF">
        <w:rPr>
          <w:b/>
          <w:color w:val="4472C4"/>
          <w:sz w:val="32"/>
          <w:szCs w:val="32"/>
        </w:rPr>
        <w:t xml:space="preserve">. </w:t>
      </w:r>
      <w:r w:rsidR="00672E91" w:rsidRPr="00672E91">
        <w:rPr>
          <w:b/>
          <w:color w:val="4472C4"/>
          <w:sz w:val="32"/>
          <w:szCs w:val="32"/>
        </w:rPr>
        <w:t xml:space="preserve">Analysis of </w:t>
      </w:r>
      <w:r w:rsidR="00FC6F97" w:rsidRPr="00923CFF">
        <w:rPr>
          <w:b/>
          <w:color w:val="4472C4"/>
          <w:sz w:val="32"/>
          <w:szCs w:val="32"/>
        </w:rPr>
        <w:t>G</w:t>
      </w:r>
      <w:r w:rsidRPr="00923CFF">
        <w:rPr>
          <w:b/>
          <w:color w:val="4472C4"/>
          <w:sz w:val="32"/>
          <w:szCs w:val="32"/>
        </w:rPr>
        <w:t>ranular Uses</w:t>
      </w:r>
    </w:p>
    <w:p w14:paraId="23EE1935" w14:textId="77777777" w:rsidR="00145AE6" w:rsidRDefault="00145AE6"/>
    <w:p w14:paraId="0049C379" w14:textId="26DA2C01" w:rsidR="00145AE6" w:rsidRDefault="00FC6F97">
      <w:r>
        <w:t xml:space="preserve">Most </w:t>
      </w:r>
      <w:r w:rsidR="00496B8A">
        <w:t>atrazine</w:t>
      </w:r>
      <w:r>
        <w:t xml:space="preserve"> use and usage involve flowable uses (</w:t>
      </w:r>
      <w:r>
        <w:rPr>
          <w:i/>
        </w:rPr>
        <w:t>e.g</w:t>
      </w:r>
      <w:r>
        <w:t xml:space="preserve">., emulsifiable concentrate, wettable powder).  Therefore, the methods developed for analyzing terrestrial exposures in this BE focus on flowable uses; however, </w:t>
      </w:r>
      <w:r w:rsidR="00496B8A">
        <w:t>atrazine</w:t>
      </w:r>
      <w:r>
        <w:t xml:space="preserve"> also has non-flowable </w:t>
      </w:r>
      <w:r w:rsidR="00496B8A">
        <w:t xml:space="preserve">granular </w:t>
      </w:r>
      <w:r>
        <w:t xml:space="preserve">uses.  </w:t>
      </w:r>
    </w:p>
    <w:p w14:paraId="28DCBBCB" w14:textId="77777777" w:rsidR="00145AE6" w:rsidRDefault="00145AE6"/>
    <w:p w14:paraId="371D357D" w14:textId="08A2CCB2" w:rsidR="00145AE6" w:rsidRDefault="00FC6F97">
      <w:r>
        <w:t>Because exposures related to granular uses are readily modeled using our current aquatic modeling approaches, these types of uses are incorporated into the aquatic exposure</w:t>
      </w:r>
      <w:r w:rsidR="004B184F">
        <w:t xml:space="preserve"> analysis</w:t>
      </w:r>
      <w:r>
        <w:t xml:space="preserve"> used to help make effects determinations for listed aquatic species (and those that rely on aquatic species).  However, due to differences in estimating potential exposures from granular uses and flowable uses, these (granular) uses are not as easily incorporated into the current modeling approach for assessing terrestrial exposures</w:t>
      </w:r>
      <w:r w:rsidR="00327F07">
        <w:t xml:space="preserve"> to listed terrestrial species.</w:t>
      </w:r>
      <w:r>
        <w:t xml:space="preserve"> </w:t>
      </w:r>
      <w:r w:rsidR="001A0C85">
        <w:t>Exposure of listed terrestrial species to</w:t>
      </w:r>
      <w:r>
        <w:t xml:space="preserve"> flowable uses</w:t>
      </w:r>
      <w:r w:rsidR="001A0C85">
        <w:t>, which</w:t>
      </w:r>
      <w:r>
        <w:t xml:space="preserve"> account for most of the use and usage of </w:t>
      </w:r>
      <w:r w:rsidR="00496B8A">
        <w:t>atrazine</w:t>
      </w:r>
      <w:r>
        <w:t xml:space="preserve">, </w:t>
      </w:r>
      <w:r w:rsidR="001A0C85">
        <w:t>is</w:t>
      </w:r>
      <w:r>
        <w:t xml:space="preserve"> incorporated into the current terrestrial exposure </w:t>
      </w:r>
      <w:r w:rsidR="004B184F">
        <w:t xml:space="preserve">tools </w:t>
      </w:r>
      <w:r>
        <w:t xml:space="preserve">used to </w:t>
      </w:r>
      <w:r w:rsidR="001A0C85">
        <w:t>inform</w:t>
      </w:r>
      <w:r>
        <w:t xml:space="preserve"> effects determinations for listed terrestrial species (and those that rely on terrestrial species).  While</w:t>
      </w:r>
      <w:r w:rsidR="0047448F">
        <w:t xml:space="preserve"> </w:t>
      </w:r>
      <w:r>
        <w:t xml:space="preserve">the granular uses are not built into these tools, they </w:t>
      </w:r>
      <w:r w:rsidR="001A0C85">
        <w:t>are</w:t>
      </w:r>
      <w:r>
        <w:t xml:space="preserve"> considered when making effects determinations. A discussion of the methods for assessing </w:t>
      </w:r>
      <w:r w:rsidR="00B13C07">
        <w:t>risk</w:t>
      </w:r>
      <w:r w:rsidR="006D21AC">
        <w:t xml:space="preserve"> from </w:t>
      </w:r>
      <w:r>
        <w:t xml:space="preserve">granular uses for </w:t>
      </w:r>
      <w:r w:rsidR="001A0C85">
        <w:t xml:space="preserve">listed </w:t>
      </w:r>
      <w:r>
        <w:t xml:space="preserve">terrestrial species </w:t>
      </w:r>
      <w:r w:rsidR="006D21AC">
        <w:t xml:space="preserve">is </w:t>
      </w:r>
      <w:r>
        <w:t>described below.</w:t>
      </w:r>
    </w:p>
    <w:p w14:paraId="7699BCFF" w14:textId="77777777" w:rsidR="00145AE6" w:rsidRDefault="00145AE6">
      <w:bookmarkStart w:id="0" w:name="_GoBack"/>
      <w:bookmarkEnd w:id="0"/>
    </w:p>
    <w:p w14:paraId="1BA54629" w14:textId="2FA2A566" w:rsidR="00FD3F32" w:rsidRPr="00FD3F32" w:rsidRDefault="00FD3F32" w:rsidP="00923CFF">
      <w:pPr>
        <w:pStyle w:val="BEHeader1"/>
      </w:pPr>
      <w:r w:rsidRPr="00FD3F32">
        <w:t>Granule Use</w:t>
      </w:r>
    </w:p>
    <w:p w14:paraId="2E814818" w14:textId="77777777" w:rsidR="00FD3F32" w:rsidRDefault="00FD3F32"/>
    <w:p w14:paraId="11EA3AA7" w14:textId="6FF66C9A" w:rsidR="00045266" w:rsidRDefault="00FC6F97">
      <w:r>
        <w:t>For terrestrial organisms, the primary route of exposure to granules is assumed to be via ingestion</w:t>
      </w:r>
      <w:r w:rsidR="00660EA7">
        <w:t xml:space="preserve"> (vertebrates) and ingestion and contact (terrestrial invertebrates)</w:t>
      </w:r>
      <w:r>
        <w:t>.  Spray drift is not ex</w:t>
      </w:r>
      <w:r w:rsidR="00327F07">
        <w:t>pected from these types of uses;</w:t>
      </w:r>
      <w:r>
        <w:t xml:space="preserve"> therefore, potential terrestrial exposures are assumed to be limited to the sites of application. </w:t>
      </w:r>
      <w:r w:rsidR="00496B8A">
        <w:t>Atrazine</w:t>
      </w:r>
      <w:r w:rsidR="009D63D0">
        <w:t xml:space="preserve"> has </w:t>
      </w:r>
      <w:r w:rsidR="003F1DF6">
        <w:t xml:space="preserve">two </w:t>
      </w:r>
      <w:r w:rsidR="009D63D0">
        <w:t>granular registration</w:t>
      </w:r>
      <w:r w:rsidR="00A263B1">
        <w:t>s for use on various types of turf as represented by the Residential and Open Space Developed Use Data Layers (UDLs)</w:t>
      </w:r>
      <w:r w:rsidR="003F1DF6">
        <w:t xml:space="preserve">: </w:t>
      </w:r>
      <w:proofErr w:type="spellStart"/>
      <w:r w:rsidR="003F1DF6">
        <w:t>Growstar</w:t>
      </w:r>
      <w:proofErr w:type="spellEnd"/>
      <w:r w:rsidR="003F1DF6">
        <w:t xml:space="preserve"> Atrazine 0.92% Plus Fertilizer (EPA Reg. Number 82757-2) and Edison South (EPA Reg. Number 538-315)</w:t>
      </w:r>
      <w:r w:rsidR="009D63D0">
        <w:t xml:space="preserve">.  </w:t>
      </w:r>
      <w:r w:rsidR="00496B8A">
        <w:t>Atrazine</w:t>
      </w:r>
      <w:r w:rsidR="009D63D0">
        <w:t xml:space="preserve"> also has flowable registrations for </w:t>
      </w:r>
      <w:r w:rsidR="00A263B1">
        <w:t>the same types of turf</w:t>
      </w:r>
      <w:r w:rsidR="009D63D0">
        <w:t xml:space="preserve">.  </w:t>
      </w:r>
      <w:r>
        <w:t xml:space="preserve">Therefore, </w:t>
      </w:r>
      <w:r w:rsidR="009D63D0">
        <w:t xml:space="preserve">the </w:t>
      </w:r>
      <w:r w:rsidR="00496B8A">
        <w:t>atrazine</w:t>
      </w:r>
      <w:r w:rsidR="009D63D0">
        <w:t xml:space="preserve"> granular</w:t>
      </w:r>
      <w:r>
        <w:t xml:space="preserve"> </w:t>
      </w:r>
      <w:r w:rsidR="009D63D0">
        <w:t>use</w:t>
      </w:r>
      <w:r>
        <w:t xml:space="preserve"> </w:t>
      </w:r>
      <w:r w:rsidR="009D63D0">
        <w:t xml:space="preserve">does not </w:t>
      </w:r>
      <w:r>
        <w:t xml:space="preserve">represent a different use footprint than the one being captured by the flowable uses. The maximum </w:t>
      </w:r>
      <w:r w:rsidR="00B96CE6">
        <w:t xml:space="preserve">flowable </w:t>
      </w:r>
      <w:r w:rsidR="00C8249D">
        <w:t>use rate</w:t>
      </w:r>
      <w:r w:rsidR="00B96CE6">
        <w:t>s</w:t>
      </w:r>
      <w:r w:rsidR="004E7225">
        <w:t xml:space="preserve"> on turf</w:t>
      </w:r>
      <w:r>
        <w:t xml:space="preserve"> </w:t>
      </w:r>
      <w:r w:rsidR="00B96CE6">
        <w:t>are</w:t>
      </w:r>
      <w:r w:rsidR="00C8249D">
        <w:t xml:space="preserve"> </w:t>
      </w:r>
      <w:r w:rsidR="004E7225">
        <w:t>4</w:t>
      </w:r>
      <w:r w:rsidR="00C8249D">
        <w:t xml:space="preserve"> lb a.i./acre per application, with a maximum annual application rate of </w:t>
      </w:r>
      <w:r w:rsidR="004E7225">
        <w:t>6</w:t>
      </w:r>
      <w:r w:rsidR="00C8249D">
        <w:t xml:space="preserve"> lb a.i./acre (</w:t>
      </w:r>
      <w:r w:rsidR="004E7225">
        <w:t>4 lb a.i./acre followed by 2 lb a.i./acre</w:t>
      </w:r>
      <w:r w:rsidR="001F3199">
        <w:t xml:space="preserve">; </w:t>
      </w:r>
      <w:r w:rsidR="00A263B1">
        <w:t>30-d minimum retreatment interval</w:t>
      </w:r>
      <w:r w:rsidR="00C8249D">
        <w:t>)</w:t>
      </w:r>
      <w:r w:rsidR="004E7225">
        <w:t xml:space="preserve"> and</w:t>
      </w:r>
      <w:r w:rsidR="004E7225" w:rsidRPr="004E7225">
        <w:t xml:space="preserve"> </w:t>
      </w:r>
      <w:r w:rsidR="004E7225">
        <w:t>maximum granular application</w:t>
      </w:r>
      <w:r w:rsidR="004E7225" w:rsidRPr="004E7225">
        <w:t xml:space="preserve"> </w:t>
      </w:r>
      <w:r w:rsidR="004E7225">
        <w:t>rates are 2 lb a.i./acre per application, with a maximum annual application rate of 4 lb a.i./acre (2 applications/year; 30-d minimum retreatment interval)</w:t>
      </w:r>
      <w:r w:rsidR="00C8249D">
        <w:t>.</w:t>
      </w:r>
      <w:r>
        <w:t xml:space="preserve"> </w:t>
      </w:r>
      <w:r w:rsidR="005A5ECE">
        <w:t xml:space="preserve">(see </w:t>
      </w:r>
      <w:r w:rsidR="005A5ECE" w:rsidRPr="005A5ECE">
        <w:rPr>
          <w:b/>
        </w:rPr>
        <w:t xml:space="preserve">APPENDIX </w:t>
      </w:r>
      <w:r w:rsidR="005F4048">
        <w:rPr>
          <w:b/>
        </w:rPr>
        <w:t>1-3</w:t>
      </w:r>
      <w:r w:rsidR="005A5ECE">
        <w:t>)</w:t>
      </w:r>
      <w:r w:rsidR="00C8249D">
        <w:t xml:space="preserve">.  </w:t>
      </w:r>
      <w:bookmarkStart w:id="1" w:name="h.gjdgxs" w:colFirst="0" w:colLast="0"/>
      <w:bookmarkEnd w:id="1"/>
    </w:p>
    <w:p w14:paraId="53CF081D" w14:textId="77777777" w:rsidR="00045266" w:rsidRDefault="00045266"/>
    <w:p w14:paraId="6A87444B" w14:textId="77777777" w:rsidR="00A34EA4" w:rsidRDefault="6685DD5B" w:rsidP="00A34EA4">
      <w:r>
        <w:t xml:space="preserve">For terrestrial invertebrates, the primary routes of exposure from the granular uses of </w:t>
      </w:r>
      <w:r w:rsidR="00496B8A">
        <w:t>atrazine</w:t>
      </w:r>
      <w:r>
        <w:t xml:space="preserve"> are expected to be via contact with contaminated soil and/or ingestion of contaminated plants that uptake </w:t>
      </w:r>
      <w:r w:rsidR="00496B8A">
        <w:t>atrazine</w:t>
      </w:r>
      <w:r>
        <w:t xml:space="preserve"> from the soil.  </w:t>
      </w:r>
      <w:r w:rsidR="00A34EA4">
        <w:t xml:space="preserve">There are currently no </w:t>
      </w:r>
      <w:r w:rsidR="00A34EA4" w:rsidRPr="00923CFF">
        <w:t>standard methods for assessing exposure and risk via consumption of contaminated plants that have taken up a pesticide and distributed the residues within the plant.</w:t>
      </w:r>
      <w:r w:rsidR="00A34EA4">
        <w:t xml:space="preserve">  It is anticipated that the residue concentrations in plants from the granular use will </w:t>
      </w:r>
      <w:r w:rsidR="00A34EA4" w:rsidRPr="00923CFF">
        <w:t>be lower</w:t>
      </w:r>
      <w:r w:rsidR="00A34EA4">
        <w:t xml:space="preserve"> than the residues on plants from flowable uses (assuming similar application rates) because the assessment for </w:t>
      </w:r>
      <w:r w:rsidR="00A34EA4" w:rsidRPr="00923CFF">
        <w:t xml:space="preserve">flowable uses assumes that a plant or invertebrate being consumed </w:t>
      </w:r>
      <w:r w:rsidR="00A34EA4" w:rsidRPr="00A34EA4">
        <w:t>is</w:t>
      </w:r>
      <w:r w:rsidR="00A34EA4" w:rsidRPr="004F12B7">
        <w:t xml:space="preserve"> </w:t>
      </w:r>
      <w:r w:rsidR="00A34EA4" w:rsidRPr="00A34EA4">
        <w:t>sp</w:t>
      </w:r>
      <w:r w:rsidR="00A34EA4" w:rsidRPr="00923CFF">
        <w:t>rayed directly</w:t>
      </w:r>
      <w:r w:rsidR="00A34EA4">
        <w:t xml:space="preserve">.  Therefore, for terrestrial invertebrates, the estimated exposures from the flowable uses are used as a protective proxy for the exposures from the granular uses.   </w:t>
      </w:r>
    </w:p>
    <w:p w14:paraId="41B8348E" w14:textId="58759B83" w:rsidR="00145AE6" w:rsidRDefault="6685DD5B">
      <w:r>
        <w:t xml:space="preserve"> </w:t>
      </w:r>
    </w:p>
    <w:p w14:paraId="52C4F8D6" w14:textId="77777777" w:rsidR="00145AE6" w:rsidRDefault="00145AE6"/>
    <w:p w14:paraId="63F1673B" w14:textId="13DD7179" w:rsidR="00B84208" w:rsidRDefault="6685DD5B">
      <w:bookmarkStart w:id="2" w:name="_Hlk33109377"/>
      <w:r>
        <w:lastRenderedPageBreak/>
        <w:t xml:space="preserve">For terrestrial vertebrates, the primary route of exposure is expected to be to birds found on the site of application that may ingest the granules, which are clay-based, as grit. Other vertebrates are generally not expected to ingest the granules because they are not food-based and are only likely to be </w:t>
      </w:r>
      <w:r w:rsidRPr="00923CFF">
        <w:t>intentionally</w:t>
      </w:r>
      <w:r>
        <w:t xml:space="preserve"> ingested by animals that require grit for normal digestion (</w:t>
      </w:r>
      <w:r w:rsidRPr="6685DD5B">
        <w:rPr>
          <w:i/>
          <w:iCs/>
        </w:rPr>
        <w:t>i.e</w:t>
      </w:r>
      <w:r>
        <w:t xml:space="preserve">., birds). One exception would be those organisms that will eat soil or have incidental soil ingestion. </w:t>
      </w:r>
      <w:r w:rsidRPr="00923CFF">
        <w:t>Because the quantity of potential granules consumed will be lower via incidental soil consumption relative to animals that may consume granules directly</w:t>
      </w:r>
      <w:r>
        <w:t>, the risk exposure estimates calculated for direct consumption of granule(s) by birds are used as a conservative proxy for the exposure of other terrestrial vertebrates.</w:t>
      </w:r>
    </w:p>
    <w:bookmarkEnd w:id="2"/>
    <w:p w14:paraId="35F5CE0A" w14:textId="77777777" w:rsidR="00B84208" w:rsidRDefault="00B84208"/>
    <w:p w14:paraId="698B0DFE" w14:textId="65AAAF82" w:rsidR="00145AE6" w:rsidRDefault="00FC6F97">
      <w:r>
        <w:t xml:space="preserve">The currently registered </w:t>
      </w:r>
      <w:r w:rsidR="00496B8A">
        <w:t>atrazine</w:t>
      </w:r>
      <w:r w:rsidR="006E0FE8">
        <w:t xml:space="preserve"> granular product</w:t>
      </w:r>
      <w:r w:rsidR="003F1DF6">
        <w:t>s</w:t>
      </w:r>
      <w:r>
        <w:t xml:space="preserve"> contain</w:t>
      </w:r>
      <w:r w:rsidR="00814B43">
        <w:t xml:space="preserve"> </w:t>
      </w:r>
      <w:r w:rsidR="003F1DF6">
        <w:t>0.92 and 1.44</w:t>
      </w:r>
      <w:r w:rsidR="00814B43">
        <w:t>% a.i</w:t>
      </w:r>
      <w:r>
        <w:t xml:space="preserve">. To explore potential exposures to birds, the number of </w:t>
      </w:r>
      <w:r w:rsidR="00496B8A">
        <w:t>atrazine</w:t>
      </w:r>
      <w:r w:rsidR="00814B43">
        <w:t xml:space="preserve"> granules (</w:t>
      </w:r>
      <w:r w:rsidR="003F1DF6">
        <w:t>0.92 and 1.44</w:t>
      </w:r>
      <w:r>
        <w:t xml:space="preserve">% a.i. products) that birds of different sizes would need to ingest to exceed the acute mortality threshold is calculated using T-REX (see </w:t>
      </w:r>
      <w:r>
        <w:rPr>
          <w:b/>
        </w:rPr>
        <w:t>Table</w:t>
      </w:r>
      <w:r w:rsidR="00B52871">
        <w:rPr>
          <w:b/>
        </w:rPr>
        <w:t>s</w:t>
      </w:r>
      <w:r w:rsidR="00B12D81">
        <w:rPr>
          <w:b/>
        </w:rPr>
        <w:t xml:space="preserve"> </w:t>
      </w:r>
      <w:r w:rsidR="008C71DD" w:rsidRPr="008C71DD">
        <w:rPr>
          <w:b/>
        </w:rPr>
        <w:t>1</w:t>
      </w:r>
      <w:r w:rsidR="00B52871">
        <w:rPr>
          <w:b/>
        </w:rPr>
        <w:t xml:space="preserve"> </w:t>
      </w:r>
      <w:r w:rsidR="00B52871" w:rsidRPr="00B52871">
        <w:rPr>
          <w:bCs/>
        </w:rPr>
        <w:t>and</w:t>
      </w:r>
      <w:r w:rsidR="00B52871">
        <w:rPr>
          <w:b/>
        </w:rPr>
        <w:t xml:space="preserve"> 2</w:t>
      </w:r>
      <w:r w:rsidR="00040FAF">
        <w:t>). Based on this analysis, 20 g,</w:t>
      </w:r>
      <w:r>
        <w:t xml:space="preserve"> 100 g, and 1,000 g birds would need to ingest </w:t>
      </w:r>
      <w:r w:rsidR="00295308">
        <w:t>at least 99</w:t>
      </w:r>
      <w:r w:rsidR="00040FAF">
        <w:t xml:space="preserve">, </w:t>
      </w:r>
      <w:r w:rsidR="00295308">
        <w:t>636</w:t>
      </w:r>
      <w:r w:rsidR="00040FAF">
        <w:t xml:space="preserve">, and </w:t>
      </w:r>
      <w:r w:rsidR="00295308">
        <w:t>8991</w:t>
      </w:r>
      <w:r>
        <w:t xml:space="preserve"> granules, respectively, to exceed the mortality threshold. </w:t>
      </w:r>
    </w:p>
    <w:p w14:paraId="16A4CAD4" w14:textId="77777777" w:rsidR="00145AE6" w:rsidRDefault="00145AE6"/>
    <w:p w14:paraId="4B05DCAA" w14:textId="2D517B6E" w:rsidR="00145AE6" w:rsidRDefault="00FC6F97">
      <w:r>
        <w:rPr>
          <w:b/>
        </w:rPr>
        <w:t>Table</w:t>
      </w:r>
      <w:r w:rsidR="00B12D81">
        <w:rPr>
          <w:b/>
        </w:rPr>
        <w:t xml:space="preserve"> </w:t>
      </w:r>
      <w:r w:rsidR="008C71DD" w:rsidRPr="008C71DD">
        <w:rPr>
          <w:b/>
        </w:rPr>
        <w:t>1</w:t>
      </w:r>
      <w:r>
        <w:rPr>
          <w:b/>
        </w:rPr>
        <w:t xml:space="preserve">. T-REX Input and Outputs for the </w:t>
      </w:r>
      <w:r w:rsidR="00496B8A">
        <w:rPr>
          <w:b/>
        </w:rPr>
        <w:t>Atrazine</w:t>
      </w:r>
      <w:r>
        <w:rPr>
          <w:b/>
        </w:rPr>
        <w:t xml:space="preserve"> Granular</w:t>
      </w:r>
      <w:r w:rsidR="00814B43">
        <w:rPr>
          <w:b/>
        </w:rPr>
        <w:t xml:space="preserve"> Exposure Estimates for Birds (</w:t>
      </w:r>
      <w:r w:rsidR="003F1DF6">
        <w:rPr>
          <w:b/>
        </w:rPr>
        <w:t>0.92</w:t>
      </w:r>
      <w:r>
        <w:rPr>
          <w:b/>
        </w:rPr>
        <w:t>% a.i. products)</w:t>
      </w:r>
    </w:p>
    <w:tbl>
      <w:tblPr>
        <w:tblStyle w:val="4"/>
        <w:tblW w:w="9072" w:type="dxa"/>
        <w:tblInd w:w="-16" w:type="dxa"/>
        <w:tblLayout w:type="fixed"/>
        <w:tblLook w:val="0000" w:firstRow="0" w:lastRow="0" w:firstColumn="0" w:lastColumn="0" w:noHBand="0" w:noVBand="0"/>
      </w:tblPr>
      <w:tblGrid>
        <w:gridCol w:w="6462"/>
        <w:gridCol w:w="900"/>
        <w:gridCol w:w="810"/>
        <w:gridCol w:w="900"/>
      </w:tblGrid>
      <w:tr w:rsidR="00145AE6" w:rsidRPr="00782506" w14:paraId="517557F0" w14:textId="77777777" w:rsidTr="00E83851">
        <w:trPr>
          <w:trHeight w:val="240"/>
        </w:trPr>
        <w:tc>
          <w:tcPr>
            <w:tcW w:w="646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7E6E6"/>
            <w:vAlign w:val="center"/>
          </w:tcPr>
          <w:p w14:paraId="3AEF41B2" w14:textId="77777777" w:rsidR="00145AE6" w:rsidRPr="00782506" w:rsidRDefault="00FC6F97" w:rsidP="00E83851">
            <w:pPr>
              <w:rPr>
                <w:sz w:val="20"/>
                <w:szCs w:val="20"/>
              </w:rPr>
            </w:pPr>
            <w:r w:rsidRPr="00782506">
              <w:rPr>
                <w:b/>
                <w:sz w:val="20"/>
                <w:szCs w:val="20"/>
              </w:rPr>
              <w:t>In-put/Out-put</w:t>
            </w:r>
          </w:p>
        </w:tc>
        <w:tc>
          <w:tcPr>
            <w:tcW w:w="900"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07B81EA3" w14:textId="77777777" w:rsidR="00145AE6" w:rsidRPr="00782506" w:rsidRDefault="00FC6F97">
            <w:pPr>
              <w:jc w:val="center"/>
              <w:rPr>
                <w:sz w:val="20"/>
                <w:szCs w:val="20"/>
              </w:rPr>
            </w:pPr>
            <w:r w:rsidRPr="00782506">
              <w:rPr>
                <w:b/>
                <w:sz w:val="20"/>
                <w:szCs w:val="20"/>
              </w:rPr>
              <w:t>20 g Bird</w:t>
            </w:r>
          </w:p>
        </w:tc>
        <w:tc>
          <w:tcPr>
            <w:tcW w:w="810"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3D7C05F1" w14:textId="77777777" w:rsidR="00145AE6" w:rsidRPr="00782506" w:rsidRDefault="00FC6F97">
            <w:pPr>
              <w:jc w:val="center"/>
              <w:rPr>
                <w:sz w:val="20"/>
                <w:szCs w:val="20"/>
              </w:rPr>
            </w:pPr>
            <w:r w:rsidRPr="00782506">
              <w:rPr>
                <w:b/>
                <w:sz w:val="20"/>
                <w:szCs w:val="20"/>
              </w:rPr>
              <w:t>100 g Bird</w:t>
            </w:r>
          </w:p>
        </w:tc>
        <w:tc>
          <w:tcPr>
            <w:tcW w:w="900"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59FCC744" w14:textId="77777777" w:rsidR="00145AE6" w:rsidRPr="00782506" w:rsidRDefault="00FC6F97">
            <w:pPr>
              <w:jc w:val="center"/>
              <w:rPr>
                <w:sz w:val="20"/>
                <w:szCs w:val="20"/>
              </w:rPr>
            </w:pPr>
            <w:r w:rsidRPr="00782506">
              <w:rPr>
                <w:b/>
                <w:sz w:val="20"/>
                <w:szCs w:val="20"/>
              </w:rPr>
              <w:t>1,000 g Bird</w:t>
            </w:r>
          </w:p>
        </w:tc>
      </w:tr>
      <w:tr w:rsidR="00145AE6" w:rsidRPr="00782506" w14:paraId="6E1097B1" w14:textId="77777777" w:rsidTr="6685DD5B">
        <w:trPr>
          <w:trHeight w:val="240"/>
        </w:trPr>
        <w:tc>
          <w:tcPr>
            <w:tcW w:w="6462"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bottom"/>
          </w:tcPr>
          <w:p w14:paraId="1DBB8308" w14:textId="77777777" w:rsidR="00145AE6" w:rsidRPr="00782506" w:rsidRDefault="00FC6F97">
            <w:pPr>
              <w:rPr>
                <w:sz w:val="20"/>
                <w:szCs w:val="20"/>
              </w:rPr>
            </w:pPr>
            <w:r w:rsidRPr="00782506">
              <w:rPr>
                <w:sz w:val="20"/>
                <w:szCs w:val="20"/>
              </w:rPr>
              <w:t>Weight of bird (kg)</w:t>
            </w:r>
          </w:p>
        </w:tc>
        <w:tc>
          <w:tcPr>
            <w:tcW w:w="900" w:type="dxa"/>
            <w:tcBorders>
              <w:top w:val="single" w:sz="4" w:space="0" w:color="000000" w:themeColor="text1"/>
              <w:left w:val="nil"/>
              <w:bottom w:val="single" w:sz="4" w:space="0" w:color="000000" w:themeColor="text1"/>
              <w:right w:val="single" w:sz="4" w:space="0" w:color="000000" w:themeColor="text1"/>
            </w:tcBorders>
          </w:tcPr>
          <w:p w14:paraId="3D9E9283" w14:textId="77777777" w:rsidR="00145AE6" w:rsidRPr="00782506" w:rsidRDefault="00FC6F97">
            <w:pPr>
              <w:jc w:val="center"/>
              <w:rPr>
                <w:sz w:val="20"/>
                <w:szCs w:val="20"/>
              </w:rPr>
            </w:pPr>
            <w:r w:rsidRPr="00782506">
              <w:rPr>
                <w:sz w:val="20"/>
                <w:szCs w:val="20"/>
              </w:rPr>
              <w:t>0.02</w:t>
            </w:r>
          </w:p>
        </w:tc>
        <w:tc>
          <w:tcPr>
            <w:tcW w:w="810" w:type="dxa"/>
            <w:tcBorders>
              <w:top w:val="single" w:sz="4" w:space="0" w:color="000000" w:themeColor="text1"/>
              <w:left w:val="nil"/>
              <w:bottom w:val="single" w:sz="4" w:space="0" w:color="000000" w:themeColor="text1"/>
              <w:right w:val="single" w:sz="4" w:space="0" w:color="000000" w:themeColor="text1"/>
            </w:tcBorders>
          </w:tcPr>
          <w:p w14:paraId="076785CF" w14:textId="77777777" w:rsidR="00145AE6" w:rsidRPr="00782506" w:rsidRDefault="00FC6F97">
            <w:pPr>
              <w:jc w:val="center"/>
              <w:rPr>
                <w:sz w:val="20"/>
                <w:szCs w:val="20"/>
              </w:rPr>
            </w:pPr>
            <w:r w:rsidRPr="00782506">
              <w:rPr>
                <w:sz w:val="20"/>
                <w:szCs w:val="20"/>
              </w:rPr>
              <w:t>0.10</w:t>
            </w:r>
          </w:p>
        </w:tc>
        <w:tc>
          <w:tcPr>
            <w:tcW w:w="900" w:type="dxa"/>
            <w:tcBorders>
              <w:top w:val="single" w:sz="4" w:space="0" w:color="000000" w:themeColor="text1"/>
              <w:left w:val="nil"/>
              <w:bottom w:val="single" w:sz="4" w:space="0" w:color="000000" w:themeColor="text1"/>
              <w:right w:val="single" w:sz="4" w:space="0" w:color="000000" w:themeColor="text1"/>
            </w:tcBorders>
          </w:tcPr>
          <w:p w14:paraId="2984FDFD" w14:textId="77777777" w:rsidR="00145AE6" w:rsidRPr="00782506" w:rsidRDefault="00FC6F97">
            <w:pPr>
              <w:jc w:val="center"/>
              <w:rPr>
                <w:sz w:val="20"/>
                <w:szCs w:val="20"/>
              </w:rPr>
            </w:pPr>
            <w:r w:rsidRPr="00782506">
              <w:rPr>
                <w:sz w:val="20"/>
                <w:szCs w:val="20"/>
              </w:rPr>
              <w:t>1.0</w:t>
            </w:r>
          </w:p>
        </w:tc>
      </w:tr>
      <w:tr w:rsidR="00145AE6" w:rsidRPr="00782506" w14:paraId="3735C240" w14:textId="77777777" w:rsidTr="6685DD5B">
        <w:trPr>
          <w:trHeight w:val="2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0D9857C4" w14:textId="4A1CFC1D" w:rsidR="00145AE6" w:rsidRPr="00782506" w:rsidRDefault="00FC6F97">
            <w:pPr>
              <w:rPr>
                <w:sz w:val="20"/>
                <w:szCs w:val="20"/>
              </w:rPr>
            </w:pPr>
            <w:r w:rsidRPr="00782506">
              <w:rPr>
                <w:sz w:val="20"/>
                <w:szCs w:val="20"/>
              </w:rPr>
              <w:t>Adjusted threshold, mg/kg-bw</w:t>
            </w:r>
            <w:r w:rsidRPr="00782506">
              <w:rPr>
                <w:sz w:val="20"/>
                <w:szCs w:val="20"/>
                <w:vertAlign w:val="superscript"/>
              </w:rPr>
              <w:t>1</w:t>
            </w:r>
            <w:r w:rsidR="008030AB" w:rsidRPr="00782506">
              <w:rPr>
                <w:sz w:val="20"/>
                <w:szCs w:val="20"/>
                <w:vertAlign w:val="superscript"/>
              </w:rPr>
              <w:t>, 2</w:t>
            </w:r>
          </w:p>
        </w:tc>
        <w:tc>
          <w:tcPr>
            <w:tcW w:w="900" w:type="dxa"/>
            <w:tcBorders>
              <w:top w:val="single" w:sz="4" w:space="0" w:color="000000" w:themeColor="text1"/>
              <w:left w:val="nil"/>
              <w:bottom w:val="single" w:sz="4" w:space="0" w:color="000000" w:themeColor="text1"/>
              <w:right w:val="single" w:sz="4" w:space="0" w:color="000000" w:themeColor="text1"/>
            </w:tcBorders>
            <w:vAlign w:val="center"/>
          </w:tcPr>
          <w:p w14:paraId="286BB46D" w14:textId="2F1DC53C" w:rsidR="00145AE6" w:rsidRPr="00782506" w:rsidRDefault="00872BA8">
            <w:pPr>
              <w:jc w:val="center"/>
              <w:rPr>
                <w:sz w:val="20"/>
                <w:szCs w:val="20"/>
              </w:rPr>
            </w:pPr>
            <w:r>
              <w:rPr>
                <w:sz w:val="20"/>
                <w:szCs w:val="20"/>
              </w:rPr>
              <w:t>720</w:t>
            </w:r>
          </w:p>
        </w:tc>
        <w:tc>
          <w:tcPr>
            <w:tcW w:w="810" w:type="dxa"/>
            <w:tcBorders>
              <w:top w:val="single" w:sz="4" w:space="0" w:color="000000" w:themeColor="text1"/>
              <w:left w:val="nil"/>
              <w:bottom w:val="single" w:sz="4" w:space="0" w:color="000000" w:themeColor="text1"/>
              <w:right w:val="single" w:sz="4" w:space="0" w:color="000000" w:themeColor="text1"/>
            </w:tcBorders>
          </w:tcPr>
          <w:p w14:paraId="46F5723E" w14:textId="242453CF" w:rsidR="00145AE6" w:rsidRPr="00782506" w:rsidRDefault="00872BA8">
            <w:pPr>
              <w:jc w:val="center"/>
              <w:rPr>
                <w:sz w:val="20"/>
                <w:szCs w:val="20"/>
                <w:highlight w:val="yellow"/>
              </w:rPr>
            </w:pPr>
            <w:r>
              <w:rPr>
                <w:sz w:val="20"/>
                <w:szCs w:val="20"/>
              </w:rPr>
              <w:t>917</w:t>
            </w:r>
          </w:p>
        </w:tc>
        <w:tc>
          <w:tcPr>
            <w:tcW w:w="900" w:type="dxa"/>
            <w:tcBorders>
              <w:top w:val="single" w:sz="4" w:space="0" w:color="000000" w:themeColor="text1"/>
              <w:left w:val="nil"/>
              <w:bottom w:val="single" w:sz="4" w:space="0" w:color="000000" w:themeColor="text1"/>
              <w:right w:val="single" w:sz="4" w:space="0" w:color="000000" w:themeColor="text1"/>
            </w:tcBorders>
          </w:tcPr>
          <w:p w14:paraId="512C9AA6" w14:textId="20AFEAD7" w:rsidR="00145AE6" w:rsidRPr="00782506" w:rsidRDefault="00872BA8">
            <w:pPr>
              <w:jc w:val="center"/>
              <w:rPr>
                <w:sz w:val="20"/>
                <w:szCs w:val="20"/>
              </w:rPr>
            </w:pPr>
            <w:r>
              <w:rPr>
                <w:sz w:val="20"/>
                <w:szCs w:val="20"/>
              </w:rPr>
              <w:t>1295</w:t>
            </w:r>
          </w:p>
        </w:tc>
      </w:tr>
      <w:tr w:rsidR="00B52871" w:rsidRPr="00782506" w14:paraId="387498A9" w14:textId="77777777" w:rsidTr="6685DD5B">
        <w:trPr>
          <w:trHeight w:val="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2469D2F7" w14:textId="77777777" w:rsidR="00B52871" w:rsidRPr="00782506" w:rsidRDefault="00B52871" w:rsidP="00B52871">
            <w:pPr>
              <w:rPr>
                <w:sz w:val="20"/>
                <w:szCs w:val="20"/>
              </w:rPr>
            </w:pPr>
            <w:r w:rsidRPr="00782506">
              <w:rPr>
                <w:sz w:val="20"/>
                <w:szCs w:val="20"/>
              </w:rPr>
              <w:t>mg a.i. needed to achieve the adjusted threshold for bird of assessed weight</w:t>
            </w:r>
          </w:p>
        </w:tc>
        <w:tc>
          <w:tcPr>
            <w:tcW w:w="900" w:type="dxa"/>
            <w:tcBorders>
              <w:top w:val="single" w:sz="4" w:space="0" w:color="000000" w:themeColor="text1"/>
              <w:left w:val="nil"/>
              <w:bottom w:val="single" w:sz="4" w:space="0" w:color="000000" w:themeColor="text1"/>
              <w:right w:val="single" w:sz="4" w:space="0" w:color="000000" w:themeColor="text1"/>
            </w:tcBorders>
            <w:vAlign w:val="center"/>
          </w:tcPr>
          <w:p w14:paraId="0ACF0CAC" w14:textId="17D10E41" w:rsidR="00B52871" w:rsidRPr="00782506" w:rsidRDefault="00B52871" w:rsidP="00B52871">
            <w:pPr>
              <w:jc w:val="center"/>
              <w:rPr>
                <w:sz w:val="20"/>
                <w:szCs w:val="20"/>
              </w:rPr>
            </w:pPr>
            <w:r>
              <w:rPr>
                <w:sz w:val="20"/>
                <w:szCs w:val="20"/>
              </w:rPr>
              <w:t>720</w:t>
            </w:r>
          </w:p>
        </w:tc>
        <w:tc>
          <w:tcPr>
            <w:tcW w:w="810" w:type="dxa"/>
            <w:tcBorders>
              <w:top w:val="single" w:sz="4" w:space="0" w:color="000000" w:themeColor="text1"/>
              <w:left w:val="nil"/>
              <w:bottom w:val="single" w:sz="4" w:space="0" w:color="000000" w:themeColor="text1"/>
              <w:right w:val="single" w:sz="4" w:space="0" w:color="000000" w:themeColor="text1"/>
            </w:tcBorders>
          </w:tcPr>
          <w:p w14:paraId="4425EC24" w14:textId="4A1C866A" w:rsidR="00B52871" w:rsidRPr="00E4363A" w:rsidRDefault="00B52871" w:rsidP="00B52871">
            <w:pPr>
              <w:jc w:val="center"/>
              <w:rPr>
                <w:sz w:val="20"/>
                <w:szCs w:val="20"/>
              </w:rPr>
            </w:pPr>
            <w:r>
              <w:rPr>
                <w:sz w:val="20"/>
                <w:szCs w:val="20"/>
              </w:rPr>
              <w:t>917</w:t>
            </w:r>
          </w:p>
        </w:tc>
        <w:tc>
          <w:tcPr>
            <w:tcW w:w="900" w:type="dxa"/>
            <w:tcBorders>
              <w:top w:val="single" w:sz="4" w:space="0" w:color="000000" w:themeColor="text1"/>
              <w:left w:val="nil"/>
              <w:bottom w:val="single" w:sz="4" w:space="0" w:color="000000" w:themeColor="text1"/>
              <w:right w:val="single" w:sz="4" w:space="0" w:color="000000" w:themeColor="text1"/>
            </w:tcBorders>
          </w:tcPr>
          <w:p w14:paraId="7DE0E9C1" w14:textId="435D7031" w:rsidR="00B52871" w:rsidRPr="00E4363A" w:rsidRDefault="00B52871" w:rsidP="00B52871">
            <w:pPr>
              <w:jc w:val="center"/>
              <w:rPr>
                <w:sz w:val="20"/>
                <w:szCs w:val="20"/>
              </w:rPr>
            </w:pPr>
            <w:r>
              <w:rPr>
                <w:sz w:val="20"/>
                <w:szCs w:val="20"/>
              </w:rPr>
              <w:t>1295</w:t>
            </w:r>
          </w:p>
        </w:tc>
      </w:tr>
      <w:tr w:rsidR="00B52871" w:rsidRPr="00782506" w14:paraId="4FD54D10" w14:textId="77777777" w:rsidTr="006D2754">
        <w:trPr>
          <w:trHeight w:val="12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6C11557F" w14:textId="77777777" w:rsidR="00B52871" w:rsidRPr="00782506" w:rsidRDefault="00B52871" w:rsidP="00814B43">
            <w:pPr>
              <w:rPr>
                <w:sz w:val="20"/>
                <w:szCs w:val="20"/>
              </w:rPr>
            </w:pPr>
            <w:r w:rsidRPr="00782506">
              <w:rPr>
                <w:sz w:val="20"/>
                <w:szCs w:val="20"/>
              </w:rPr>
              <w:t xml:space="preserve">Fraction of a.i. in formulated product </w:t>
            </w:r>
          </w:p>
        </w:tc>
        <w:tc>
          <w:tcPr>
            <w:tcW w:w="2610" w:type="dxa"/>
            <w:gridSpan w:val="3"/>
            <w:tcBorders>
              <w:top w:val="single" w:sz="4" w:space="0" w:color="000000" w:themeColor="text1"/>
              <w:left w:val="nil"/>
              <w:bottom w:val="single" w:sz="4" w:space="0" w:color="000000" w:themeColor="text1"/>
              <w:right w:val="single" w:sz="4" w:space="0" w:color="000000" w:themeColor="text1"/>
            </w:tcBorders>
          </w:tcPr>
          <w:p w14:paraId="15754B45" w14:textId="1C2465B9" w:rsidR="00B52871" w:rsidRPr="00273BAC" w:rsidRDefault="00B52871" w:rsidP="00814B43">
            <w:pPr>
              <w:jc w:val="center"/>
              <w:rPr>
                <w:sz w:val="20"/>
                <w:szCs w:val="20"/>
              </w:rPr>
            </w:pPr>
            <w:r>
              <w:rPr>
                <w:sz w:val="20"/>
                <w:szCs w:val="20"/>
              </w:rPr>
              <w:t>0.92</w:t>
            </w:r>
          </w:p>
        </w:tc>
      </w:tr>
      <w:tr w:rsidR="00B52871" w:rsidRPr="00782506" w14:paraId="7A13674A" w14:textId="77777777" w:rsidTr="009E71DA">
        <w:trPr>
          <w:trHeight w:val="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44FA4517" w14:textId="36D2A35F" w:rsidR="00B52871" w:rsidRPr="00782506" w:rsidRDefault="00B52871" w:rsidP="00FC61A3">
            <w:pPr>
              <w:rPr>
                <w:sz w:val="20"/>
                <w:szCs w:val="20"/>
              </w:rPr>
            </w:pPr>
            <w:r w:rsidRPr="00782506">
              <w:rPr>
                <w:sz w:val="20"/>
                <w:szCs w:val="20"/>
              </w:rPr>
              <w:t>Weight of 1 granule (mg, obtained from registrant)</w:t>
            </w:r>
          </w:p>
        </w:tc>
        <w:tc>
          <w:tcPr>
            <w:tcW w:w="2610" w:type="dxa"/>
            <w:gridSpan w:val="3"/>
            <w:tcBorders>
              <w:top w:val="single" w:sz="4" w:space="0" w:color="000000" w:themeColor="text1"/>
              <w:left w:val="nil"/>
              <w:bottom w:val="single" w:sz="4" w:space="0" w:color="000000" w:themeColor="text1"/>
              <w:right w:val="single" w:sz="4" w:space="0" w:color="000000" w:themeColor="text1"/>
            </w:tcBorders>
            <w:vAlign w:val="center"/>
          </w:tcPr>
          <w:p w14:paraId="5473D085" w14:textId="4B2AD26F" w:rsidR="00B52871" w:rsidRPr="00782506" w:rsidRDefault="00B52871" w:rsidP="00FC61A3">
            <w:pPr>
              <w:jc w:val="center"/>
              <w:rPr>
                <w:sz w:val="20"/>
                <w:szCs w:val="20"/>
              </w:rPr>
            </w:pPr>
            <w:r>
              <w:rPr>
                <w:sz w:val="20"/>
                <w:szCs w:val="20"/>
              </w:rPr>
              <w:t>10</w:t>
            </w:r>
          </w:p>
        </w:tc>
      </w:tr>
      <w:tr w:rsidR="00B52871" w:rsidRPr="00782506" w14:paraId="49E2BD36" w14:textId="77777777" w:rsidTr="00C0186C">
        <w:trPr>
          <w:trHeight w:val="2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556E6E14" w14:textId="77777777" w:rsidR="00B52871" w:rsidRPr="00782506" w:rsidRDefault="00B52871" w:rsidP="00FC61A3">
            <w:pPr>
              <w:rPr>
                <w:sz w:val="20"/>
                <w:szCs w:val="20"/>
              </w:rPr>
            </w:pPr>
            <w:r w:rsidRPr="00782506">
              <w:rPr>
                <w:sz w:val="20"/>
                <w:szCs w:val="20"/>
              </w:rPr>
              <w:t xml:space="preserve">mg a.i./granule </w:t>
            </w:r>
          </w:p>
        </w:tc>
        <w:tc>
          <w:tcPr>
            <w:tcW w:w="2610" w:type="dxa"/>
            <w:gridSpan w:val="3"/>
            <w:tcBorders>
              <w:top w:val="single" w:sz="4" w:space="0" w:color="000000" w:themeColor="text1"/>
              <w:left w:val="nil"/>
              <w:bottom w:val="single" w:sz="4" w:space="0" w:color="000000" w:themeColor="text1"/>
              <w:right w:val="single" w:sz="4" w:space="0" w:color="000000" w:themeColor="text1"/>
            </w:tcBorders>
            <w:vAlign w:val="center"/>
          </w:tcPr>
          <w:p w14:paraId="26814FE5" w14:textId="4C210392" w:rsidR="00B52871" w:rsidRPr="00782506" w:rsidRDefault="00B52871" w:rsidP="00FC61A3">
            <w:pPr>
              <w:jc w:val="center"/>
              <w:rPr>
                <w:sz w:val="20"/>
                <w:szCs w:val="20"/>
              </w:rPr>
            </w:pPr>
            <w:r>
              <w:rPr>
                <w:sz w:val="20"/>
                <w:szCs w:val="20"/>
              </w:rPr>
              <w:t>0.092</w:t>
            </w:r>
          </w:p>
        </w:tc>
      </w:tr>
      <w:tr w:rsidR="008D2A2E" w:rsidRPr="00782506" w14:paraId="71F0A921" w14:textId="77777777" w:rsidTr="6685DD5B">
        <w:trPr>
          <w:trHeight w:val="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1A81A33A" w14:textId="0CCAE93A" w:rsidR="008D2A2E" w:rsidRPr="00782506" w:rsidRDefault="008D2A2E" w:rsidP="008D2A2E">
            <w:pPr>
              <w:rPr>
                <w:sz w:val="20"/>
                <w:szCs w:val="20"/>
              </w:rPr>
            </w:pPr>
            <w:r w:rsidRPr="00782506">
              <w:rPr>
                <w:sz w:val="20"/>
                <w:szCs w:val="20"/>
              </w:rPr>
              <w:t xml:space="preserve">No. of granules needed to </w:t>
            </w:r>
            <w:r>
              <w:rPr>
                <w:sz w:val="20"/>
                <w:szCs w:val="20"/>
              </w:rPr>
              <w:t>exceed mortality</w:t>
            </w:r>
            <w:r w:rsidRPr="00782506">
              <w:rPr>
                <w:sz w:val="20"/>
                <w:szCs w:val="20"/>
              </w:rPr>
              <w:t xml:space="preserve"> threshold</w:t>
            </w:r>
          </w:p>
        </w:tc>
        <w:tc>
          <w:tcPr>
            <w:tcW w:w="900" w:type="dxa"/>
            <w:tcBorders>
              <w:top w:val="single" w:sz="4" w:space="0" w:color="000000" w:themeColor="text1"/>
              <w:left w:val="nil"/>
              <w:bottom w:val="single" w:sz="4" w:space="0" w:color="000000" w:themeColor="text1"/>
              <w:right w:val="single" w:sz="4" w:space="0" w:color="000000" w:themeColor="text1"/>
            </w:tcBorders>
            <w:vAlign w:val="center"/>
          </w:tcPr>
          <w:p w14:paraId="7A5F9D0B" w14:textId="5C32CB68" w:rsidR="008D2A2E" w:rsidRPr="00782506" w:rsidRDefault="008D2A2E" w:rsidP="008D2A2E">
            <w:pPr>
              <w:jc w:val="center"/>
              <w:rPr>
                <w:sz w:val="20"/>
                <w:szCs w:val="20"/>
              </w:rPr>
            </w:pPr>
            <w:r>
              <w:rPr>
                <w:sz w:val="20"/>
                <w:szCs w:val="20"/>
              </w:rPr>
              <w:t>157</w:t>
            </w:r>
          </w:p>
        </w:tc>
        <w:tc>
          <w:tcPr>
            <w:tcW w:w="810" w:type="dxa"/>
            <w:tcBorders>
              <w:top w:val="single" w:sz="4" w:space="0" w:color="000000" w:themeColor="text1"/>
              <w:left w:val="nil"/>
              <w:bottom w:val="single" w:sz="4" w:space="0" w:color="000000" w:themeColor="text1"/>
              <w:right w:val="single" w:sz="4" w:space="0" w:color="000000" w:themeColor="text1"/>
            </w:tcBorders>
          </w:tcPr>
          <w:p w14:paraId="411898F2" w14:textId="77B0FEFB" w:rsidR="008D2A2E" w:rsidRPr="00782506" w:rsidRDefault="008D2A2E" w:rsidP="008D2A2E">
            <w:pPr>
              <w:jc w:val="center"/>
              <w:rPr>
                <w:sz w:val="20"/>
                <w:szCs w:val="20"/>
              </w:rPr>
            </w:pPr>
            <w:r>
              <w:rPr>
                <w:sz w:val="20"/>
                <w:szCs w:val="20"/>
              </w:rPr>
              <w:t>996</w:t>
            </w:r>
          </w:p>
        </w:tc>
        <w:tc>
          <w:tcPr>
            <w:tcW w:w="900" w:type="dxa"/>
            <w:tcBorders>
              <w:top w:val="single" w:sz="4" w:space="0" w:color="000000" w:themeColor="text1"/>
              <w:left w:val="nil"/>
              <w:bottom w:val="single" w:sz="4" w:space="0" w:color="000000" w:themeColor="text1"/>
              <w:right w:val="single" w:sz="4" w:space="0" w:color="000000" w:themeColor="text1"/>
            </w:tcBorders>
          </w:tcPr>
          <w:p w14:paraId="67B04FC2" w14:textId="061BE872" w:rsidR="008D2A2E" w:rsidRPr="00782506" w:rsidRDefault="00B52871" w:rsidP="008D2A2E">
            <w:pPr>
              <w:jc w:val="center"/>
              <w:rPr>
                <w:sz w:val="20"/>
                <w:szCs w:val="20"/>
              </w:rPr>
            </w:pPr>
            <w:r>
              <w:rPr>
                <w:sz w:val="20"/>
                <w:szCs w:val="20"/>
              </w:rPr>
              <w:t>14072</w:t>
            </w:r>
          </w:p>
        </w:tc>
      </w:tr>
    </w:tbl>
    <w:p w14:paraId="3539CA96" w14:textId="4FCFCE70" w:rsidR="008030AB" w:rsidRPr="008030AB" w:rsidRDefault="00FC6F97" w:rsidP="008030AB">
      <w:pPr>
        <w:rPr>
          <w:sz w:val="20"/>
          <w:szCs w:val="20"/>
        </w:rPr>
      </w:pPr>
      <w:r w:rsidRPr="008030AB">
        <w:rPr>
          <w:sz w:val="20"/>
          <w:szCs w:val="20"/>
          <w:vertAlign w:val="superscript"/>
        </w:rPr>
        <w:t>1</w:t>
      </w:r>
      <w:r w:rsidRPr="008030AB">
        <w:rPr>
          <w:sz w:val="20"/>
          <w:szCs w:val="20"/>
        </w:rPr>
        <w:t xml:space="preserve"> </w:t>
      </w:r>
      <w:r w:rsidR="008030AB" w:rsidRPr="008030AB">
        <w:rPr>
          <w:sz w:val="20"/>
          <w:szCs w:val="20"/>
        </w:rPr>
        <w:t>Based on the</w:t>
      </w:r>
      <w:r w:rsidR="004707E6">
        <w:rPr>
          <w:sz w:val="20"/>
          <w:szCs w:val="20"/>
        </w:rPr>
        <w:t xml:space="preserve"> LD</w:t>
      </w:r>
      <w:r w:rsidR="004707E6" w:rsidRPr="00321119">
        <w:rPr>
          <w:sz w:val="20"/>
          <w:szCs w:val="20"/>
          <w:vertAlign w:val="subscript"/>
        </w:rPr>
        <w:t>50</w:t>
      </w:r>
      <w:r w:rsidR="004707E6">
        <w:rPr>
          <w:sz w:val="20"/>
          <w:szCs w:val="20"/>
        </w:rPr>
        <w:t xml:space="preserve"> </w:t>
      </w:r>
      <w:r w:rsidR="008030AB" w:rsidRPr="008030AB">
        <w:rPr>
          <w:sz w:val="20"/>
          <w:szCs w:val="20"/>
        </w:rPr>
        <w:t xml:space="preserve">for mortality of </w:t>
      </w:r>
      <w:r w:rsidR="00872BA8">
        <w:rPr>
          <w:sz w:val="20"/>
          <w:szCs w:val="20"/>
        </w:rPr>
        <w:t>783</w:t>
      </w:r>
      <w:r w:rsidR="008030AB" w:rsidRPr="008030AB">
        <w:rPr>
          <w:sz w:val="20"/>
          <w:szCs w:val="20"/>
        </w:rPr>
        <w:t xml:space="preserve"> </w:t>
      </w:r>
      <w:r w:rsidR="00040FAF">
        <w:rPr>
          <w:sz w:val="20"/>
          <w:szCs w:val="20"/>
        </w:rPr>
        <w:t xml:space="preserve">mg </w:t>
      </w:r>
      <w:proofErr w:type="spellStart"/>
      <w:r w:rsidR="00040FAF">
        <w:rPr>
          <w:sz w:val="20"/>
          <w:szCs w:val="20"/>
        </w:rPr>
        <w:t>a.i.</w:t>
      </w:r>
      <w:proofErr w:type="spellEnd"/>
      <w:r w:rsidR="00040FAF">
        <w:rPr>
          <w:sz w:val="20"/>
          <w:szCs w:val="20"/>
        </w:rPr>
        <w:t>/kg-</w:t>
      </w:r>
      <w:proofErr w:type="spellStart"/>
      <w:r w:rsidR="00040FAF">
        <w:rPr>
          <w:sz w:val="20"/>
          <w:szCs w:val="20"/>
        </w:rPr>
        <w:t>bw</w:t>
      </w:r>
      <w:proofErr w:type="spellEnd"/>
      <w:r w:rsidR="00040FAF">
        <w:rPr>
          <w:sz w:val="20"/>
          <w:szCs w:val="20"/>
        </w:rPr>
        <w:t xml:space="preserve"> for a </w:t>
      </w:r>
      <w:r w:rsidR="00872BA8">
        <w:rPr>
          <w:sz w:val="20"/>
          <w:szCs w:val="20"/>
        </w:rPr>
        <w:t>35</w:t>
      </w:r>
      <w:r w:rsidR="00040FAF">
        <w:rPr>
          <w:sz w:val="20"/>
          <w:szCs w:val="20"/>
        </w:rPr>
        <w:t xml:space="preserve"> g bird.</w:t>
      </w:r>
    </w:p>
    <w:p w14:paraId="01358E0E" w14:textId="0A85B4B9" w:rsidR="00145AE6" w:rsidRDefault="008030AB" w:rsidP="008030AB">
      <w:pPr>
        <w:rPr>
          <w:sz w:val="20"/>
          <w:szCs w:val="20"/>
        </w:rPr>
      </w:pPr>
      <w:r w:rsidRPr="008030AB">
        <w:rPr>
          <w:sz w:val="20"/>
          <w:szCs w:val="20"/>
          <w:vertAlign w:val="superscript"/>
        </w:rPr>
        <w:t>2</w:t>
      </w:r>
      <w:r w:rsidRPr="008030AB">
        <w:rPr>
          <w:sz w:val="20"/>
          <w:szCs w:val="20"/>
        </w:rPr>
        <w:t xml:space="preserve"> A </w:t>
      </w:r>
      <w:proofErr w:type="spellStart"/>
      <w:r w:rsidRPr="008030AB">
        <w:rPr>
          <w:sz w:val="20"/>
          <w:szCs w:val="20"/>
        </w:rPr>
        <w:t>Mineau</w:t>
      </w:r>
      <w:proofErr w:type="spellEnd"/>
      <w:r w:rsidRPr="008030AB">
        <w:rPr>
          <w:sz w:val="20"/>
          <w:szCs w:val="20"/>
        </w:rPr>
        <w:t xml:space="preserve"> scaling factor of 1.</w:t>
      </w:r>
      <w:r w:rsidR="00872BA8">
        <w:rPr>
          <w:sz w:val="20"/>
          <w:szCs w:val="20"/>
        </w:rPr>
        <w:t>15</w:t>
      </w:r>
      <w:r w:rsidR="00872BA8" w:rsidRPr="008030AB">
        <w:rPr>
          <w:sz w:val="20"/>
          <w:szCs w:val="20"/>
        </w:rPr>
        <w:t xml:space="preserve"> </w:t>
      </w:r>
      <w:r w:rsidRPr="008030AB">
        <w:rPr>
          <w:sz w:val="20"/>
          <w:szCs w:val="20"/>
        </w:rPr>
        <w:t xml:space="preserve">is used based on the </w:t>
      </w:r>
      <w:r w:rsidR="00872BA8">
        <w:rPr>
          <w:sz w:val="20"/>
          <w:szCs w:val="20"/>
        </w:rPr>
        <w:t>default value</w:t>
      </w:r>
      <w:r w:rsidRPr="008030AB">
        <w:rPr>
          <w:sz w:val="20"/>
          <w:szCs w:val="20"/>
        </w:rPr>
        <w:t xml:space="preserve"> in </w:t>
      </w:r>
      <w:proofErr w:type="spellStart"/>
      <w:r w:rsidRPr="008030AB">
        <w:rPr>
          <w:sz w:val="20"/>
          <w:szCs w:val="20"/>
        </w:rPr>
        <w:t>Mineau</w:t>
      </w:r>
      <w:proofErr w:type="spellEnd"/>
      <w:r w:rsidRPr="008030AB">
        <w:rPr>
          <w:sz w:val="20"/>
          <w:szCs w:val="20"/>
        </w:rPr>
        <w:t xml:space="preserve">, </w:t>
      </w:r>
      <w:r w:rsidRPr="008030AB">
        <w:rPr>
          <w:i/>
          <w:sz w:val="20"/>
          <w:szCs w:val="20"/>
        </w:rPr>
        <w:t>et al</w:t>
      </w:r>
      <w:r w:rsidRPr="008030AB">
        <w:rPr>
          <w:sz w:val="20"/>
          <w:szCs w:val="20"/>
        </w:rPr>
        <w:t>. 1996.</w:t>
      </w:r>
    </w:p>
    <w:p w14:paraId="17F061CB" w14:textId="77777777" w:rsidR="003F1DF6" w:rsidRPr="008030AB" w:rsidRDefault="003F1DF6" w:rsidP="008030AB">
      <w:pPr>
        <w:rPr>
          <w:sz w:val="20"/>
          <w:szCs w:val="20"/>
        </w:rPr>
      </w:pPr>
    </w:p>
    <w:p w14:paraId="4AC662DB" w14:textId="607B0829" w:rsidR="003F1DF6" w:rsidRDefault="003F1DF6" w:rsidP="003F1DF6">
      <w:r>
        <w:rPr>
          <w:b/>
        </w:rPr>
        <w:t>Table 2. T-REX Input and Outputs for the Atrazine Granular Exposure Estimates for Birds (1.44% a.i. products)</w:t>
      </w:r>
    </w:p>
    <w:tbl>
      <w:tblPr>
        <w:tblStyle w:val="4"/>
        <w:tblW w:w="9072" w:type="dxa"/>
        <w:tblInd w:w="-16" w:type="dxa"/>
        <w:tblLayout w:type="fixed"/>
        <w:tblLook w:val="0000" w:firstRow="0" w:lastRow="0" w:firstColumn="0" w:lastColumn="0" w:noHBand="0" w:noVBand="0"/>
      </w:tblPr>
      <w:tblGrid>
        <w:gridCol w:w="6462"/>
        <w:gridCol w:w="900"/>
        <w:gridCol w:w="810"/>
        <w:gridCol w:w="900"/>
      </w:tblGrid>
      <w:tr w:rsidR="003F1DF6" w:rsidRPr="00782506" w14:paraId="168DDDA4" w14:textId="77777777" w:rsidTr="00E83851">
        <w:trPr>
          <w:trHeight w:val="240"/>
        </w:trPr>
        <w:tc>
          <w:tcPr>
            <w:tcW w:w="6462"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E7E6E6"/>
            <w:vAlign w:val="center"/>
          </w:tcPr>
          <w:p w14:paraId="37CB5BA7" w14:textId="77777777" w:rsidR="003F1DF6" w:rsidRPr="00782506" w:rsidRDefault="003F1DF6" w:rsidP="00E83851">
            <w:pPr>
              <w:rPr>
                <w:sz w:val="20"/>
                <w:szCs w:val="20"/>
              </w:rPr>
            </w:pPr>
            <w:r w:rsidRPr="00782506">
              <w:rPr>
                <w:b/>
                <w:sz w:val="20"/>
                <w:szCs w:val="20"/>
              </w:rPr>
              <w:t>In-put/Out-put</w:t>
            </w:r>
          </w:p>
        </w:tc>
        <w:tc>
          <w:tcPr>
            <w:tcW w:w="900"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0F87E552" w14:textId="77777777" w:rsidR="003F1DF6" w:rsidRPr="00782506" w:rsidRDefault="003F1DF6" w:rsidP="00EF3367">
            <w:pPr>
              <w:jc w:val="center"/>
              <w:rPr>
                <w:sz w:val="20"/>
                <w:szCs w:val="20"/>
              </w:rPr>
            </w:pPr>
            <w:r w:rsidRPr="00782506">
              <w:rPr>
                <w:b/>
                <w:sz w:val="20"/>
                <w:szCs w:val="20"/>
              </w:rPr>
              <w:t>20 g Bird</w:t>
            </w:r>
          </w:p>
        </w:tc>
        <w:tc>
          <w:tcPr>
            <w:tcW w:w="810"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6B75317C" w14:textId="77777777" w:rsidR="003F1DF6" w:rsidRPr="00782506" w:rsidRDefault="003F1DF6" w:rsidP="00EF3367">
            <w:pPr>
              <w:jc w:val="center"/>
              <w:rPr>
                <w:sz w:val="20"/>
                <w:szCs w:val="20"/>
              </w:rPr>
            </w:pPr>
            <w:r w:rsidRPr="00782506">
              <w:rPr>
                <w:b/>
                <w:sz w:val="20"/>
                <w:szCs w:val="20"/>
              </w:rPr>
              <w:t>100 g Bird</w:t>
            </w:r>
          </w:p>
        </w:tc>
        <w:tc>
          <w:tcPr>
            <w:tcW w:w="900" w:type="dxa"/>
            <w:tcBorders>
              <w:top w:val="single" w:sz="4" w:space="0" w:color="000000" w:themeColor="text1"/>
              <w:left w:val="nil"/>
              <w:bottom w:val="single" w:sz="4" w:space="0" w:color="000000" w:themeColor="text1"/>
              <w:right w:val="single" w:sz="4" w:space="0" w:color="000000" w:themeColor="text1"/>
            </w:tcBorders>
            <w:shd w:val="clear" w:color="auto" w:fill="E7E6E6"/>
          </w:tcPr>
          <w:p w14:paraId="09F852D1" w14:textId="77777777" w:rsidR="003F1DF6" w:rsidRPr="00782506" w:rsidRDefault="003F1DF6" w:rsidP="00EF3367">
            <w:pPr>
              <w:jc w:val="center"/>
              <w:rPr>
                <w:sz w:val="20"/>
                <w:szCs w:val="20"/>
              </w:rPr>
            </w:pPr>
            <w:r w:rsidRPr="00782506">
              <w:rPr>
                <w:b/>
                <w:sz w:val="20"/>
                <w:szCs w:val="20"/>
              </w:rPr>
              <w:t>1,000 g Bird</w:t>
            </w:r>
          </w:p>
        </w:tc>
      </w:tr>
      <w:tr w:rsidR="003F1DF6" w:rsidRPr="00782506" w14:paraId="3DDC4396" w14:textId="77777777" w:rsidTr="00EF3367">
        <w:trPr>
          <w:trHeight w:val="240"/>
        </w:trPr>
        <w:tc>
          <w:tcPr>
            <w:tcW w:w="6462" w:type="dxa"/>
            <w:tcBorders>
              <w:top w:val="single" w:sz="4" w:space="0" w:color="000000" w:themeColor="text1"/>
              <w:left w:val="single" w:sz="8" w:space="0" w:color="000000" w:themeColor="text1"/>
              <w:bottom w:val="single" w:sz="4" w:space="0" w:color="000000" w:themeColor="text1"/>
              <w:right w:val="single" w:sz="4" w:space="0" w:color="000000" w:themeColor="text1"/>
            </w:tcBorders>
            <w:vAlign w:val="bottom"/>
          </w:tcPr>
          <w:p w14:paraId="5B7C9B84" w14:textId="77777777" w:rsidR="003F1DF6" w:rsidRPr="00782506" w:rsidRDefault="003F1DF6" w:rsidP="00EF3367">
            <w:pPr>
              <w:rPr>
                <w:sz w:val="20"/>
                <w:szCs w:val="20"/>
              </w:rPr>
            </w:pPr>
            <w:r w:rsidRPr="00782506">
              <w:rPr>
                <w:sz w:val="20"/>
                <w:szCs w:val="20"/>
              </w:rPr>
              <w:t>Weight of bird (kg)</w:t>
            </w:r>
          </w:p>
        </w:tc>
        <w:tc>
          <w:tcPr>
            <w:tcW w:w="900" w:type="dxa"/>
            <w:tcBorders>
              <w:top w:val="single" w:sz="4" w:space="0" w:color="000000" w:themeColor="text1"/>
              <w:left w:val="nil"/>
              <w:bottom w:val="single" w:sz="4" w:space="0" w:color="000000" w:themeColor="text1"/>
              <w:right w:val="single" w:sz="4" w:space="0" w:color="000000" w:themeColor="text1"/>
            </w:tcBorders>
          </w:tcPr>
          <w:p w14:paraId="566706F8" w14:textId="77777777" w:rsidR="003F1DF6" w:rsidRPr="00782506" w:rsidRDefault="003F1DF6" w:rsidP="00EF3367">
            <w:pPr>
              <w:jc w:val="center"/>
              <w:rPr>
                <w:sz w:val="20"/>
                <w:szCs w:val="20"/>
              </w:rPr>
            </w:pPr>
            <w:r w:rsidRPr="00782506">
              <w:rPr>
                <w:sz w:val="20"/>
                <w:szCs w:val="20"/>
              </w:rPr>
              <w:t>0.02</w:t>
            </w:r>
          </w:p>
        </w:tc>
        <w:tc>
          <w:tcPr>
            <w:tcW w:w="810" w:type="dxa"/>
            <w:tcBorders>
              <w:top w:val="single" w:sz="4" w:space="0" w:color="000000" w:themeColor="text1"/>
              <w:left w:val="nil"/>
              <w:bottom w:val="single" w:sz="4" w:space="0" w:color="000000" w:themeColor="text1"/>
              <w:right w:val="single" w:sz="4" w:space="0" w:color="000000" w:themeColor="text1"/>
            </w:tcBorders>
          </w:tcPr>
          <w:p w14:paraId="49834723" w14:textId="77777777" w:rsidR="003F1DF6" w:rsidRPr="00782506" w:rsidRDefault="003F1DF6" w:rsidP="00EF3367">
            <w:pPr>
              <w:jc w:val="center"/>
              <w:rPr>
                <w:sz w:val="20"/>
                <w:szCs w:val="20"/>
              </w:rPr>
            </w:pPr>
            <w:r w:rsidRPr="00782506">
              <w:rPr>
                <w:sz w:val="20"/>
                <w:szCs w:val="20"/>
              </w:rPr>
              <w:t>0.10</w:t>
            </w:r>
          </w:p>
        </w:tc>
        <w:tc>
          <w:tcPr>
            <w:tcW w:w="900" w:type="dxa"/>
            <w:tcBorders>
              <w:top w:val="single" w:sz="4" w:space="0" w:color="000000" w:themeColor="text1"/>
              <w:left w:val="nil"/>
              <w:bottom w:val="single" w:sz="4" w:space="0" w:color="000000" w:themeColor="text1"/>
              <w:right w:val="single" w:sz="4" w:space="0" w:color="000000" w:themeColor="text1"/>
            </w:tcBorders>
          </w:tcPr>
          <w:p w14:paraId="4C4CEAE5" w14:textId="77777777" w:rsidR="003F1DF6" w:rsidRPr="00782506" w:rsidRDefault="003F1DF6" w:rsidP="00EF3367">
            <w:pPr>
              <w:jc w:val="center"/>
              <w:rPr>
                <w:sz w:val="20"/>
                <w:szCs w:val="20"/>
              </w:rPr>
            </w:pPr>
            <w:r w:rsidRPr="00782506">
              <w:rPr>
                <w:sz w:val="20"/>
                <w:szCs w:val="20"/>
              </w:rPr>
              <w:t>1.0</w:t>
            </w:r>
          </w:p>
        </w:tc>
      </w:tr>
      <w:tr w:rsidR="00B52871" w:rsidRPr="00782506" w14:paraId="16F03041" w14:textId="77777777" w:rsidTr="00EF3367">
        <w:trPr>
          <w:trHeight w:val="2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461996A7" w14:textId="77777777" w:rsidR="00B52871" w:rsidRPr="00782506" w:rsidRDefault="00B52871" w:rsidP="00B52871">
            <w:pPr>
              <w:rPr>
                <w:sz w:val="20"/>
                <w:szCs w:val="20"/>
              </w:rPr>
            </w:pPr>
            <w:r w:rsidRPr="00782506">
              <w:rPr>
                <w:sz w:val="20"/>
                <w:szCs w:val="20"/>
              </w:rPr>
              <w:t>Adjusted threshold, mg/kg-bw</w:t>
            </w:r>
            <w:r w:rsidRPr="00782506">
              <w:rPr>
                <w:sz w:val="20"/>
                <w:szCs w:val="20"/>
                <w:vertAlign w:val="superscript"/>
              </w:rPr>
              <w:t>1, 2</w:t>
            </w:r>
          </w:p>
        </w:tc>
        <w:tc>
          <w:tcPr>
            <w:tcW w:w="900" w:type="dxa"/>
            <w:tcBorders>
              <w:top w:val="single" w:sz="4" w:space="0" w:color="000000" w:themeColor="text1"/>
              <w:left w:val="nil"/>
              <w:bottom w:val="single" w:sz="4" w:space="0" w:color="000000" w:themeColor="text1"/>
              <w:right w:val="single" w:sz="4" w:space="0" w:color="000000" w:themeColor="text1"/>
            </w:tcBorders>
            <w:vAlign w:val="center"/>
          </w:tcPr>
          <w:p w14:paraId="5EB5513E" w14:textId="4569AA8C" w:rsidR="00B52871" w:rsidRPr="00782506" w:rsidRDefault="00B52871" w:rsidP="00B52871">
            <w:pPr>
              <w:jc w:val="center"/>
              <w:rPr>
                <w:sz w:val="20"/>
                <w:szCs w:val="20"/>
              </w:rPr>
            </w:pPr>
            <w:r>
              <w:rPr>
                <w:sz w:val="20"/>
                <w:szCs w:val="20"/>
              </w:rPr>
              <w:t>720</w:t>
            </w:r>
          </w:p>
        </w:tc>
        <w:tc>
          <w:tcPr>
            <w:tcW w:w="810" w:type="dxa"/>
            <w:tcBorders>
              <w:top w:val="single" w:sz="4" w:space="0" w:color="000000" w:themeColor="text1"/>
              <w:left w:val="nil"/>
              <w:bottom w:val="single" w:sz="4" w:space="0" w:color="000000" w:themeColor="text1"/>
              <w:right w:val="single" w:sz="4" w:space="0" w:color="000000" w:themeColor="text1"/>
            </w:tcBorders>
          </w:tcPr>
          <w:p w14:paraId="6CFAA9C9" w14:textId="53CCA96C" w:rsidR="00B52871" w:rsidRPr="00782506" w:rsidRDefault="00B52871" w:rsidP="00B52871">
            <w:pPr>
              <w:jc w:val="center"/>
              <w:rPr>
                <w:sz w:val="20"/>
                <w:szCs w:val="20"/>
                <w:highlight w:val="yellow"/>
              </w:rPr>
            </w:pPr>
            <w:r>
              <w:rPr>
                <w:sz w:val="20"/>
                <w:szCs w:val="20"/>
              </w:rPr>
              <w:t>917</w:t>
            </w:r>
          </w:p>
        </w:tc>
        <w:tc>
          <w:tcPr>
            <w:tcW w:w="900" w:type="dxa"/>
            <w:tcBorders>
              <w:top w:val="single" w:sz="4" w:space="0" w:color="000000" w:themeColor="text1"/>
              <w:left w:val="nil"/>
              <w:bottom w:val="single" w:sz="4" w:space="0" w:color="000000" w:themeColor="text1"/>
              <w:right w:val="single" w:sz="4" w:space="0" w:color="000000" w:themeColor="text1"/>
            </w:tcBorders>
          </w:tcPr>
          <w:p w14:paraId="6750844B" w14:textId="42B4D18E" w:rsidR="00B52871" w:rsidRPr="00782506" w:rsidRDefault="00B52871" w:rsidP="00B52871">
            <w:pPr>
              <w:jc w:val="center"/>
              <w:rPr>
                <w:sz w:val="20"/>
                <w:szCs w:val="20"/>
              </w:rPr>
            </w:pPr>
            <w:r>
              <w:rPr>
                <w:sz w:val="20"/>
                <w:szCs w:val="20"/>
              </w:rPr>
              <w:t>1295</w:t>
            </w:r>
          </w:p>
        </w:tc>
      </w:tr>
      <w:tr w:rsidR="00B52871" w:rsidRPr="00782506" w14:paraId="46D001F7" w14:textId="77777777" w:rsidTr="00EF3367">
        <w:trPr>
          <w:trHeight w:val="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1777DC85" w14:textId="77777777" w:rsidR="00B52871" w:rsidRPr="00782506" w:rsidRDefault="00B52871" w:rsidP="00B52871">
            <w:pPr>
              <w:rPr>
                <w:sz w:val="20"/>
                <w:szCs w:val="20"/>
              </w:rPr>
            </w:pPr>
            <w:r w:rsidRPr="00782506">
              <w:rPr>
                <w:sz w:val="20"/>
                <w:szCs w:val="20"/>
              </w:rPr>
              <w:t>mg a.i. needed to achieve the adjusted threshold for bird of assessed weight</w:t>
            </w:r>
          </w:p>
        </w:tc>
        <w:tc>
          <w:tcPr>
            <w:tcW w:w="900" w:type="dxa"/>
            <w:tcBorders>
              <w:top w:val="single" w:sz="4" w:space="0" w:color="000000" w:themeColor="text1"/>
              <w:left w:val="nil"/>
              <w:bottom w:val="single" w:sz="4" w:space="0" w:color="000000" w:themeColor="text1"/>
              <w:right w:val="single" w:sz="4" w:space="0" w:color="000000" w:themeColor="text1"/>
            </w:tcBorders>
            <w:vAlign w:val="center"/>
          </w:tcPr>
          <w:p w14:paraId="6C53A8EA" w14:textId="55AB31E3" w:rsidR="00B52871" w:rsidRPr="00782506" w:rsidRDefault="00B52871" w:rsidP="00B52871">
            <w:pPr>
              <w:jc w:val="center"/>
              <w:rPr>
                <w:sz w:val="20"/>
                <w:szCs w:val="20"/>
              </w:rPr>
            </w:pPr>
            <w:r>
              <w:rPr>
                <w:sz w:val="20"/>
                <w:szCs w:val="20"/>
              </w:rPr>
              <w:t>720</w:t>
            </w:r>
          </w:p>
        </w:tc>
        <w:tc>
          <w:tcPr>
            <w:tcW w:w="810" w:type="dxa"/>
            <w:tcBorders>
              <w:top w:val="single" w:sz="4" w:space="0" w:color="000000" w:themeColor="text1"/>
              <w:left w:val="nil"/>
              <w:bottom w:val="single" w:sz="4" w:space="0" w:color="000000" w:themeColor="text1"/>
              <w:right w:val="single" w:sz="4" w:space="0" w:color="000000" w:themeColor="text1"/>
            </w:tcBorders>
          </w:tcPr>
          <w:p w14:paraId="6084079A" w14:textId="28BD3D93" w:rsidR="00B52871" w:rsidRPr="00E4363A" w:rsidRDefault="00B52871" w:rsidP="00B52871">
            <w:pPr>
              <w:jc w:val="center"/>
              <w:rPr>
                <w:sz w:val="20"/>
                <w:szCs w:val="20"/>
              </w:rPr>
            </w:pPr>
            <w:r>
              <w:rPr>
                <w:sz w:val="20"/>
                <w:szCs w:val="20"/>
              </w:rPr>
              <w:t>917</w:t>
            </w:r>
          </w:p>
        </w:tc>
        <w:tc>
          <w:tcPr>
            <w:tcW w:w="900" w:type="dxa"/>
            <w:tcBorders>
              <w:top w:val="single" w:sz="4" w:space="0" w:color="000000" w:themeColor="text1"/>
              <w:left w:val="nil"/>
              <w:bottom w:val="single" w:sz="4" w:space="0" w:color="000000" w:themeColor="text1"/>
              <w:right w:val="single" w:sz="4" w:space="0" w:color="000000" w:themeColor="text1"/>
            </w:tcBorders>
          </w:tcPr>
          <w:p w14:paraId="44247CAE" w14:textId="57365BAE" w:rsidR="00B52871" w:rsidRPr="00E4363A" w:rsidRDefault="00B52871" w:rsidP="00B52871">
            <w:pPr>
              <w:jc w:val="center"/>
              <w:rPr>
                <w:sz w:val="20"/>
                <w:szCs w:val="20"/>
              </w:rPr>
            </w:pPr>
            <w:r>
              <w:rPr>
                <w:sz w:val="20"/>
                <w:szCs w:val="20"/>
              </w:rPr>
              <w:t>1295</w:t>
            </w:r>
          </w:p>
        </w:tc>
      </w:tr>
      <w:tr w:rsidR="008D2A2E" w:rsidRPr="00782506" w14:paraId="622A2BE8" w14:textId="77777777" w:rsidTr="005E2443">
        <w:trPr>
          <w:trHeight w:val="12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34E84A01" w14:textId="77777777" w:rsidR="008D2A2E" w:rsidRPr="00782506" w:rsidRDefault="008D2A2E" w:rsidP="00EF3367">
            <w:pPr>
              <w:rPr>
                <w:sz w:val="20"/>
                <w:szCs w:val="20"/>
              </w:rPr>
            </w:pPr>
            <w:r w:rsidRPr="00782506">
              <w:rPr>
                <w:sz w:val="20"/>
                <w:szCs w:val="20"/>
              </w:rPr>
              <w:t xml:space="preserve">Fraction of a.i. in formulated product </w:t>
            </w:r>
          </w:p>
        </w:tc>
        <w:tc>
          <w:tcPr>
            <w:tcW w:w="2610" w:type="dxa"/>
            <w:gridSpan w:val="3"/>
            <w:tcBorders>
              <w:top w:val="single" w:sz="4" w:space="0" w:color="000000" w:themeColor="text1"/>
              <w:left w:val="nil"/>
              <w:bottom w:val="single" w:sz="4" w:space="0" w:color="000000" w:themeColor="text1"/>
              <w:right w:val="single" w:sz="4" w:space="0" w:color="000000" w:themeColor="text1"/>
            </w:tcBorders>
          </w:tcPr>
          <w:p w14:paraId="1236FA3A" w14:textId="33A14B7B" w:rsidR="008D2A2E" w:rsidRPr="00273BAC" w:rsidRDefault="00B52871" w:rsidP="00EF3367">
            <w:pPr>
              <w:jc w:val="center"/>
              <w:rPr>
                <w:sz w:val="20"/>
                <w:szCs w:val="20"/>
              </w:rPr>
            </w:pPr>
            <w:r>
              <w:rPr>
                <w:sz w:val="20"/>
                <w:szCs w:val="20"/>
              </w:rPr>
              <w:t>1.44</w:t>
            </w:r>
          </w:p>
        </w:tc>
      </w:tr>
      <w:tr w:rsidR="008D2A2E" w:rsidRPr="00782506" w14:paraId="34EE27FA" w14:textId="77777777" w:rsidTr="00891EBF">
        <w:trPr>
          <w:trHeight w:val="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06E33CE6" w14:textId="68528CB0" w:rsidR="008D2A2E" w:rsidRPr="00782506" w:rsidRDefault="008D2A2E" w:rsidP="00EF3367">
            <w:pPr>
              <w:rPr>
                <w:sz w:val="20"/>
                <w:szCs w:val="20"/>
              </w:rPr>
            </w:pPr>
            <w:r w:rsidRPr="00782506">
              <w:rPr>
                <w:sz w:val="20"/>
                <w:szCs w:val="20"/>
              </w:rPr>
              <w:t xml:space="preserve">Weight of 1 granule (mg, </w:t>
            </w:r>
            <w:r>
              <w:rPr>
                <w:sz w:val="20"/>
                <w:szCs w:val="20"/>
              </w:rPr>
              <w:t>assumed</w:t>
            </w:r>
            <w:r w:rsidRPr="00782506">
              <w:rPr>
                <w:sz w:val="20"/>
                <w:szCs w:val="20"/>
              </w:rPr>
              <w:t>)</w:t>
            </w:r>
          </w:p>
        </w:tc>
        <w:tc>
          <w:tcPr>
            <w:tcW w:w="2610" w:type="dxa"/>
            <w:gridSpan w:val="3"/>
            <w:tcBorders>
              <w:top w:val="single" w:sz="4" w:space="0" w:color="000000" w:themeColor="text1"/>
              <w:left w:val="nil"/>
              <w:bottom w:val="single" w:sz="4" w:space="0" w:color="000000" w:themeColor="text1"/>
              <w:right w:val="single" w:sz="4" w:space="0" w:color="000000" w:themeColor="text1"/>
            </w:tcBorders>
            <w:vAlign w:val="center"/>
          </w:tcPr>
          <w:p w14:paraId="4B05B499" w14:textId="0A2171AE" w:rsidR="008D2A2E" w:rsidRPr="00782506" w:rsidRDefault="008D2A2E" w:rsidP="00EF3367">
            <w:pPr>
              <w:jc w:val="center"/>
              <w:rPr>
                <w:sz w:val="20"/>
                <w:szCs w:val="20"/>
              </w:rPr>
            </w:pPr>
            <w:r>
              <w:rPr>
                <w:sz w:val="20"/>
                <w:szCs w:val="20"/>
              </w:rPr>
              <w:t>10</w:t>
            </w:r>
          </w:p>
        </w:tc>
      </w:tr>
      <w:tr w:rsidR="008D2A2E" w:rsidRPr="00782506" w14:paraId="32CB3209" w14:textId="77777777" w:rsidTr="00937B9A">
        <w:trPr>
          <w:trHeight w:val="2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2F8065DB" w14:textId="77777777" w:rsidR="008D2A2E" w:rsidRPr="00782506" w:rsidRDefault="008D2A2E" w:rsidP="00EF3367">
            <w:pPr>
              <w:rPr>
                <w:sz w:val="20"/>
                <w:szCs w:val="20"/>
              </w:rPr>
            </w:pPr>
            <w:r w:rsidRPr="00782506">
              <w:rPr>
                <w:sz w:val="20"/>
                <w:szCs w:val="20"/>
              </w:rPr>
              <w:t xml:space="preserve">mg a.i./granule </w:t>
            </w:r>
          </w:p>
        </w:tc>
        <w:tc>
          <w:tcPr>
            <w:tcW w:w="2610" w:type="dxa"/>
            <w:gridSpan w:val="3"/>
            <w:tcBorders>
              <w:top w:val="single" w:sz="4" w:space="0" w:color="000000" w:themeColor="text1"/>
              <w:left w:val="nil"/>
              <w:bottom w:val="single" w:sz="4" w:space="0" w:color="000000" w:themeColor="text1"/>
              <w:right w:val="single" w:sz="4" w:space="0" w:color="000000" w:themeColor="text1"/>
            </w:tcBorders>
            <w:vAlign w:val="center"/>
          </w:tcPr>
          <w:p w14:paraId="3CD7830C" w14:textId="7A70BE77" w:rsidR="008D2A2E" w:rsidRPr="00782506" w:rsidRDefault="00B52871" w:rsidP="00EF3367">
            <w:pPr>
              <w:jc w:val="center"/>
              <w:rPr>
                <w:sz w:val="20"/>
                <w:szCs w:val="20"/>
              </w:rPr>
            </w:pPr>
            <w:r>
              <w:rPr>
                <w:sz w:val="20"/>
                <w:szCs w:val="20"/>
              </w:rPr>
              <w:t>0.144</w:t>
            </w:r>
          </w:p>
        </w:tc>
      </w:tr>
      <w:tr w:rsidR="003F1DF6" w:rsidRPr="00782506" w14:paraId="0C9A202A" w14:textId="77777777" w:rsidTr="00EF3367">
        <w:trPr>
          <w:trHeight w:val="40"/>
        </w:trPr>
        <w:tc>
          <w:tcPr>
            <w:tcW w:w="6462" w:type="dxa"/>
            <w:tcBorders>
              <w:top w:val="nil"/>
              <w:left w:val="single" w:sz="8" w:space="0" w:color="000000" w:themeColor="text1"/>
              <w:bottom w:val="single" w:sz="4" w:space="0" w:color="000000" w:themeColor="text1"/>
              <w:right w:val="single" w:sz="4" w:space="0" w:color="000000" w:themeColor="text1"/>
            </w:tcBorders>
            <w:vAlign w:val="bottom"/>
          </w:tcPr>
          <w:p w14:paraId="384B5278" w14:textId="77777777" w:rsidR="003F1DF6" w:rsidRPr="00782506" w:rsidRDefault="003F1DF6" w:rsidP="00EF3367">
            <w:pPr>
              <w:rPr>
                <w:sz w:val="20"/>
                <w:szCs w:val="20"/>
              </w:rPr>
            </w:pPr>
            <w:r w:rsidRPr="00782506">
              <w:rPr>
                <w:sz w:val="20"/>
                <w:szCs w:val="20"/>
              </w:rPr>
              <w:t xml:space="preserve">No. of granules needed to </w:t>
            </w:r>
            <w:r>
              <w:rPr>
                <w:sz w:val="20"/>
                <w:szCs w:val="20"/>
              </w:rPr>
              <w:t>exceed mortality</w:t>
            </w:r>
            <w:r w:rsidRPr="00782506">
              <w:rPr>
                <w:sz w:val="20"/>
                <w:szCs w:val="20"/>
              </w:rPr>
              <w:t xml:space="preserve"> threshold</w:t>
            </w:r>
          </w:p>
        </w:tc>
        <w:tc>
          <w:tcPr>
            <w:tcW w:w="900" w:type="dxa"/>
            <w:tcBorders>
              <w:top w:val="single" w:sz="4" w:space="0" w:color="000000" w:themeColor="text1"/>
              <w:left w:val="nil"/>
              <w:bottom w:val="single" w:sz="4" w:space="0" w:color="000000" w:themeColor="text1"/>
              <w:right w:val="single" w:sz="4" w:space="0" w:color="000000" w:themeColor="text1"/>
            </w:tcBorders>
            <w:vAlign w:val="center"/>
          </w:tcPr>
          <w:p w14:paraId="3CA79F35" w14:textId="0D6A81A1" w:rsidR="003F1DF6" w:rsidRPr="00782506" w:rsidRDefault="00B52871" w:rsidP="00EF3367">
            <w:pPr>
              <w:jc w:val="center"/>
              <w:rPr>
                <w:sz w:val="20"/>
                <w:szCs w:val="20"/>
              </w:rPr>
            </w:pPr>
            <w:r>
              <w:rPr>
                <w:sz w:val="20"/>
                <w:szCs w:val="20"/>
              </w:rPr>
              <w:t>99</w:t>
            </w:r>
          </w:p>
        </w:tc>
        <w:tc>
          <w:tcPr>
            <w:tcW w:w="810" w:type="dxa"/>
            <w:tcBorders>
              <w:top w:val="single" w:sz="4" w:space="0" w:color="000000" w:themeColor="text1"/>
              <w:left w:val="nil"/>
              <w:bottom w:val="single" w:sz="4" w:space="0" w:color="000000" w:themeColor="text1"/>
              <w:right w:val="single" w:sz="4" w:space="0" w:color="000000" w:themeColor="text1"/>
            </w:tcBorders>
          </w:tcPr>
          <w:p w14:paraId="05939763" w14:textId="70386945" w:rsidR="003F1DF6" w:rsidRPr="00782506" w:rsidRDefault="00B52871" w:rsidP="00EF3367">
            <w:pPr>
              <w:jc w:val="center"/>
              <w:rPr>
                <w:sz w:val="20"/>
                <w:szCs w:val="20"/>
              </w:rPr>
            </w:pPr>
            <w:r>
              <w:rPr>
                <w:sz w:val="20"/>
                <w:szCs w:val="20"/>
              </w:rPr>
              <w:t>636</w:t>
            </w:r>
          </w:p>
        </w:tc>
        <w:tc>
          <w:tcPr>
            <w:tcW w:w="900" w:type="dxa"/>
            <w:tcBorders>
              <w:top w:val="single" w:sz="4" w:space="0" w:color="000000" w:themeColor="text1"/>
              <w:left w:val="nil"/>
              <w:bottom w:val="single" w:sz="4" w:space="0" w:color="000000" w:themeColor="text1"/>
              <w:right w:val="single" w:sz="4" w:space="0" w:color="000000" w:themeColor="text1"/>
            </w:tcBorders>
          </w:tcPr>
          <w:p w14:paraId="0A23705C" w14:textId="0FE3C21B" w:rsidR="003F1DF6" w:rsidRPr="00782506" w:rsidRDefault="00B52871" w:rsidP="00EF3367">
            <w:pPr>
              <w:jc w:val="center"/>
              <w:rPr>
                <w:sz w:val="20"/>
                <w:szCs w:val="20"/>
              </w:rPr>
            </w:pPr>
            <w:r>
              <w:rPr>
                <w:sz w:val="20"/>
                <w:szCs w:val="20"/>
              </w:rPr>
              <w:t>8991</w:t>
            </w:r>
          </w:p>
        </w:tc>
      </w:tr>
    </w:tbl>
    <w:p w14:paraId="24C1D61C" w14:textId="3BE25096" w:rsidR="00B52871" w:rsidRPr="008030AB" w:rsidRDefault="00B52871" w:rsidP="00B52871">
      <w:pPr>
        <w:rPr>
          <w:sz w:val="20"/>
          <w:szCs w:val="20"/>
        </w:rPr>
      </w:pPr>
      <w:r w:rsidRPr="008030AB">
        <w:rPr>
          <w:sz w:val="20"/>
          <w:szCs w:val="20"/>
          <w:vertAlign w:val="superscript"/>
        </w:rPr>
        <w:t>1</w:t>
      </w:r>
      <w:r w:rsidRPr="008030AB">
        <w:rPr>
          <w:sz w:val="20"/>
          <w:szCs w:val="20"/>
        </w:rPr>
        <w:t xml:space="preserve"> Based on the</w:t>
      </w:r>
      <w:r>
        <w:rPr>
          <w:sz w:val="20"/>
          <w:szCs w:val="20"/>
        </w:rPr>
        <w:t xml:space="preserve"> LD</w:t>
      </w:r>
      <w:r w:rsidRPr="00321119">
        <w:rPr>
          <w:sz w:val="20"/>
          <w:szCs w:val="20"/>
          <w:vertAlign w:val="subscript"/>
        </w:rPr>
        <w:t>50</w:t>
      </w:r>
      <w:r>
        <w:rPr>
          <w:sz w:val="20"/>
          <w:szCs w:val="20"/>
        </w:rPr>
        <w:t xml:space="preserve"> </w:t>
      </w:r>
      <w:r w:rsidRPr="008030AB">
        <w:rPr>
          <w:sz w:val="20"/>
          <w:szCs w:val="20"/>
        </w:rPr>
        <w:t xml:space="preserve">for mortality of </w:t>
      </w:r>
      <w:r>
        <w:rPr>
          <w:sz w:val="20"/>
          <w:szCs w:val="20"/>
        </w:rPr>
        <w:t>783</w:t>
      </w:r>
      <w:r w:rsidRPr="008030AB">
        <w:rPr>
          <w:sz w:val="20"/>
          <w:szCs w:val="20"/>
        </w:rPr>
        <w:t xml:space="preserve"> </w:t>
      </w:r>
      <w:r>
        <w:rPr>
          <w:sz w:val="20"/>
          <w:szCs w:val="20"/>
        </w:rPr>
        <w:t xml:space="preserve">mg </w:t>
      </w:r>
      <w:proofErr w:type="spellStart"/>
      <w:r>
        <w:rPr>
          <w:sz w:val="20"/>
          <w:szCs w:val="20"/>
        </w:rPr>
        <w:t>a.i.</w:t>
      </w:r>
      <w:proofErr w:type="spellEnd"/>
      <w:r>
        <w:rPr>
          <w:sz w:val="20"/>
          <w:szCs w:val="20"/>
        </w:rPr>
        <w:t>/kg-</w:t>
      </w:r>
      <w:proofErr w:type="spellStart"/>
      <w:r>
        <w:rPr>
          <w:sz w:val="20"/>
          <w:szCs w:val="20"/>
        </w:rPr>
        <w:t>bw</w:t>
      </w:r>
      <w:proofErr w:type="spellEnd"/>
      <w:r>
        <w:rPr>
          <w:sz w:val="20"/>
          <w:szCs w:val="20"/>
        </w:rPr>
        <w:t xml:space="preserve"> for a 35 g bird.</w:t>
      </w:r>
    </w:p>
    <w:p w14:paraId="3B3FB58E" w14:textId="65BC46C2" w:rsidR="00B52871" w:rsidRDefault="00B52871" w:rsidP="00B52871">
      <w:pPr>
        <w:rPr>
          <w:sz w:val="20"/>
          <w:szCs w:val="20"/>
        </w:rPr>
      </w:pPr>
      <w:r w:rsidRPr="008030AB">
        <w:rPr>
          <w:sz w:val="20"/>
          <w:szCs w:val="20"/>
          <w:vertAlign w:val="superscript"/>
        </w:rPr>
        <w:t>2</w:t>
      </w:r>
      <w:r w:rsidRPr="008030AB">
        <w:rPr>
          <w:sz w:val="20"/>
          <w:szCs w:val="20"/>
        </w:rPr>
        <w:t xml:space="preserve"> A </w:t>
      </w:r>
      <w:proofErr w:type="spellStart"/>
      <w:r w:rsidRPr="008030AB">
        <w:rPr>
          <w:sz w:val="20"/>
          <w:szCs w:val="20"/>
        </w:rPr>
        <w:t>Mineau</w:t>
      </w:r>
      <w:proofErr w:type="spellEnd"/>
      <w:r w:rsidRPr="008030AB">
        <w:rPr>
          <w:sz w:val="20"/>
          <w:szCs w:val="20"/>
        </w:rPr>
        <w:t xml:space="preserve"> scaling factor of 1.</w:t>
      </w:r>
      <w:r>
        <w:rPr>
          <w:sz w:val="20"/>
          <w:szCs w:val="20"/>
        </w:rPr>
        <w:t>15</w:t>
      </w:r>
      <w:r w:rsidRPr="008030AB">
        <w:rPr>
          <w:sz w:val="20"/>
          <w:szCs w:val="20"/>
        </w:rPr>
        <w:t xml:space="preserve"> is used based on the </w:t>
      </w:r>
      <w:r>
        <w:rPr>
          <w:sz w:val="20"/>
          <w:szCs w:val="20"/>
        </w:rPr>
        <w:t>default value</w:t>
      </w:r>
      <w:r w:rsidRPr="008030AB">
        <w:rPr>
          <w:sz w:val="20"/>
          <w:szCs w:val="20"/>
        </w:rPr>
        <w:t xml:space="preserve"> in </w:t>
      </w:r>
      <w:proofErr w:type="spellStart"/>
      <w:r w:rsidRPr="008030AB">
        <w:rPr>
          <w:sz w:val="20"/>
          <w:szCs w:val="20"/>
        </w:rPr>
        <w:t>Mineau</w:t>
      </w:r>
      <w:proofErr w:type="spellEnd"/>
      <w:r w:rsidRPr="008030AB">
        <w:rPr>
          <w:sz w:val="20"/>
          <w:szCs w:val="20"/>
        </w:rPr>
        <w:t xml:space="preserve">, </w:t>
      </w:r>
      <w:r w:rsidRPr="008030AB">
        <w:rPr>
          <w:i/>
          <w:sz w:val="20"/>
          <w:szCs w:val="20"/>
        </w:rPr>
        <w:t>et al</w:t>
      </w:r>
      <w:r w:rsidRPr="008030AB">
        <w:rPr>
          <w:sz w:val="20"/>
          <w:szCs w:val="20"/>
        </w:rPr>
        <w:t>. 1996.</w:t>
      </w:r>
    </w:p>
    <w:p w14:paraId="60758636" w14:textId="77777777" w:rsidR="008030AB" w:rsidRDefault="008030AB"/>
    <w:p w14:paraId="0BE961C6" w14:textId="41C688B6" w:rsidR="009C18B8" w:rsidRDefault="00A34EA4">
      <w:r>
        <w:t xml:space="preserve">For reasons stated earlier, for vertebrate animals that may ingest contaminated plants, </w:t>
      </w:r>
      <w:r w:rsidR="009002B8">
        <w:t xml:space="preserve"> </w:t>
      </w:r>
      <w:r>
        <w:t>i</w:t>
      </w:r>
      <w:r w:rsidR="009002B8">
        <w:t xml:space="preserve">t is anticipated that the residue concentrations in plants from the granular use will </w:t>
      </w:r>
      <w:r w:rsidR="009002B8" w:rsidRPr="00923CFF">
        <w:t>be lower</w:t>
      </w:r>
      <w:r w:rsidR="009002B8">
        <w:t xml:space="preserve"> than the residues on plants from flowable uses (assuming similar application rates) because the assessment for </w:t>
      </w:r>
      <w:r w:rsidR="009002B8" w:rsidRPr="00923CFF">
        <w:t>flowable uses assumes that a plant or invertebrate being consume</w:t>
      </w:r>
      <w:r w:rsidR="009002B8" w:rsidRPr="009002B8">
        <w:t>d is sp</w:t>
      </w:r>
      <w:r w:rsidR="009002B8" w:rsidRPr="00923CFF">
        <w:t>rayed directly</w:t>
      </w:r>
      <w:r w:rsidR="009002B8">
        <w:t xml:space="preserve">. </w:t>
      </w:r>
      <w:r w:rsidR="6685DD5B">
        <w:t xml:space="preserve"> Therefore, for terrestrial </w:t>
      </w:r>
      <w:r w:rsidR="6685DD5B">
        <w:lastRenderedPageBreak/>
        <w:t xml:space="preserve">vertebrates that may ingest contaminated plant material, the estimated exposures from the flowable uses on </w:t>
      </w:r>
      <w:r w:rsidR="009002B8">
        <w:t>turf</w:t>
      </w:r>
      <w:r w:rsidR="6685DD5B">
        <w:t xml:space="preserve"> will be used as a protective proxy for the exposures from the granular use on </w:t>
      </w:r>
      <w:r w:rsidR="009002B8">
        <w:t>turf</w:t>
      </w:r>
      <w:r w:rsidR="6685DD5B">
        <w:t xml:space="preserve">.  </w:t>
      </w:r>
    </w:p>
    <w:p w14:paraId="13589238" w14:textId="77777777" w:rsidR="009C18B8" w:rsidRDefault="009C18B8"/>
    <w:p w14:paraId="24AF140B" w14:textId="77777777" w:rsidR="00002210" w:rsidRDefault="00002210"/>
    <w:sectPr w:rsidR="00002210" w:rsidSect="00674139">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A1F9E" w14:textId="77777777" w:rsidR="00413A7A" w:rsidRDefault="00413A7A">
      <w:r>
        <w:separator/>
      </w:r>
    </w:p>
  </w:endnote>
  <w:endnote w:type="continuationSeparator" w:id="0">
    <w:p w14:paraId="55FBA35B" w14:textId="77777777" w:rsidR="00413A7A" w:rsidRDefault="00413A7A">
      <w:r>
        <w:continuationSeparator/>
      </w:r>
    </w:p>
  </w:endnote>
  <w:endnote w:type="continuationNotice" w:id="1">
    <w:p w14:paraId="4D47E060" w14:textId="77777777" w:rsidR="00413A7A" w:rsidRDefault="00413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B6FB" w14:textId="4CBCA8E0" w:rsidR="00C65CBB" w:rsidRDefault="00E83851">
    <w:pPr>
      <w:pStyle w:val="Footer"/>
      <w:jc w:val="center"/>
    </w:pPr>
    <w:sdt>
      <w:sdtPr>
        <w:id w:val="1878194960"/>
        <w:docPartObj>
          <w:docPartGallery w:val="Page Numbers (Bottom of Page)"/>
          <w:docPartUnique/>
        </w:docPartObj>
      </w:sdtPr>
      <w:sdtEndPr>
        <w:rPr>
          <w:rFonts w:asciiTheme="minorHAnsi" w:hAnsiTheme="minorHAnsi" w:cstheme="minorHAnsi"/>
          <w:noProof/>
        </w:rPr>
      </w:sdtEndPr>
      <w:sdtContent>
        <w:r w:rsidR="00C65CBB">
          <w:fldChar w:fldCharType="begin"/>
        </w:r>
        <w:r w:rsidR="00C65CBB">
          <w:instrText xml:space="preserve"> PAGE   \* MERGEFORMAT </w:instrText>
        </w:r>
        <w:r w:rsidR="00C65CBB">
          <w:fldChar w:fldCharType="separate"/>
        </w:r>
        <w:r w:rsidR="00C65CBB">
          <w:rPr>
            <w:noProof/>
          </w:rPr>
          <w:t>2</w:t>
        </w:r>
        <w:r w:rsidR="00C65CBB">
          <w:rPr>
            <w:noProof/>
          </w:rPr>
          <w:fldChar w:fldCharType="end"/>
        </w:r>
      </w:sdtContent>
    </w:sdt>
  </w:p>
  <w:p w14:paraId="2C46F4C1" w14:textId="77777777" w:rsidR="00C65CBB" w:rsidRDefault="00C65CBB">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273C8" w14:textId="77777777" w:rsidR="00413A7A" w:rsidRDefault="00413A7A">
      <w:r>
        <w:separator/>
      </w:r>
    </w:p>
  </w:footnote>
  <w:footnote w:type="continuationSeparator" w:id="0">
    <w:p w14:paraId="562E4235" w14:textId="77777777" w:rsidR="00413A7A" w:rsidRDefault="00413A7A">
      <w:r>
        <w:continuationSeparator/>
      </w:r>
    </w:p>
  </w:footnote>
  <w:footnote w:type="continuationNotice" w:id="1">
    <w:p w14:paraId="176174AB" w14:textId="77777777" w:rsidR="00413A7A" w:rsidRDefault="00413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7B6E"/>
    <w:multiLevelType w:val="multilevel"/>
    <w:tmpl w:val="1932ED52"/>
    <w:lvl w:ilvl="0">
      <w:start w:val="1"/>
      <w:numFmt w:val="decimal"/>
      <w:pStyle w:val="BEHeader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2721F96"/>
    <w:multiLevelType w:val="hybridMultilevel"/>
    <w:tmpl w:val="5FE8C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displayBackgroundShape/>
  <w:proofState w:spelling="clean" w:grammar="clean"/>
  <w:documentProtection w:edit="readOnly" w:enforcement="1" w:cryptProviderType="rsaAES" w:cryptAlgorithmClass="hash" w:cryptAlgorithmType="typeAny" w:cryptAlgorithmSid="14" w:cryptSpinCount="100000" w:hash="BDJ/+rUDQ8+/W1luVe65N4d1znR4Ws7cvtVqQg4X7Nkx3Z6lTZo/fzrw2852p4L3e93sN4a3+z3goK7sM2QzTg==" w:salt="KtonPf4+X2iNEQ+CEbXcWA=="/>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E6"/>
    <w:rsid w:val="00002210"/>
    <w:rsid w:val="0000696D"/>
    <w:rsid w:val="00026350"/>
    <w:rsid w:val="000357CF"/>
    <w:rsid w:val="00040A33"/>
    <w:rsid w:val="00040FAF"/>
    <w:rsid w:val="000424AD"/>
    <w:rsid w:val="000428CE"/>
    <w:rsid w:val="000442A0"/>
    <w:rsid w:val="00045266"/>
    <w:rsid w:val="000458CE"/>
    <w:rsid w:val="00056CD7"/>
    <w:rsid w:val="00075766"/>
    <w:rsid w:val="00081F61"/>
    <w:rsid w:val="000839CA"/>
    <w:rsid w:val="00087234"/>
    <w:rsid w:val="00092ADE"/>
    <w:rsid w:val="00095569"/>
    <w:rsid w:val="000971D6"/>
    <w:rsid w:val="000A099D"/>
    <w:rsid w:val="000A7266"/>
    <w:rsid w:val="000B5904"/>
    <w:rsid w:val="000B62D0"/>
    <w:rsid w:val="000B7AD4"/>
    <w:rsid w:val="000C3AA3"/>
    <w:rsid w:val="000C4AF4"/>
    <w:rsid w:val="000D2C45"/>
    <w:rsid w:val="000D54A1"/>
    <w:rsid w:val="000D7C69"/>
    <w:rsid w:val="000E1A85"/>
    <w:rsid w:val="000E3183"/>
    <w:rsid w:val="000E4A1E"/>
    <w:rsid w:val="000E4AD0"/>
    <w:rsid w:val="000F004B"/>
    <w:rsid w:val="000F05C4"/>
    <w:rsid w:val="000F61D9"/>
    <w:rsid w:val="00112475"/>
    <w:rsid w:val="0011540F"/>
    <w:rsid w:val="00115BEC"/>
    <w:rsid w:val="00115FEA"/>
    <w:rsid w:val="00123857"/>
    <w:rsid w:val="00125084"/>
    <w:rsid w:val="001410DE"/>
    <w:rsid w:val="00144463"/>
    <w:rsid w:val="00145AE6"/>
    <w:rsid w:val="00145EEE"/>
    <w:rsid w:val="0015088B"/>
    <w:rsid w:val="00152E42"/>
    <w:rsid w:val="00154CA4"/>
    <w:rsid w:val="00155439"/>
    <w:rsid w:val="001577DA"/>
    <w:rsid w:val="00164C0E"/>
    <w:rsid w:val="00165815"/>
    <w:rsid w:val="001670F5"/>
    <w:rsid w:val="00174967"/>
    <w:rsid w:val="0018187A"/>
    <w:rsid w:val="00182315"/>
    <w:rsid w:val="00184623"/>
    <w:rsid w:val="00192FCA"/>
    <w:rsid w:val="00196A85"/>
    <w:rsid w:val="001A0420"/>
    <w:rsid w:val="001A0C85"/>
    <w:rsid w:val="001A2BC9"/>
    <w:rsid w:val="001A540F"/>
    <w:rsid w:val="001B2FF0"/>
    <w:rsid w:val="001B37D5"/>
    <w:rsid w:val="001C76E0"/>
    <w:rsid w:val="001D2228"/>
    <w:rsid w:val="001D33F6"/>
    <w:rsid w:val="001E1F13"/>
    <w:rsid w:val="001F0F90"/>
    <w:rsid w:val="001F3199"/>
    <w:rsid w:val="001F4F34"/>
    <w:rsid w:val="001F5D51"/>
    <w:rsid w:val="002018FC"/>
    <w:rsid w:val="00204E5B"/>
    <w:rsid w:val="002075F4"/>
    <w:rsid w:val="00212494"/>
    <w:rsid w:val="00213678"/>
    <w:rsid w:val="00241121"/>
    <w:rsid w:val="0024313C"/>
    <w:rsid w:val="00243405"/>
    <w:rsid w:val="00252254"/>
    <w:rsid w:val="00252480"/>
    <w:rsid w:val="00256A4A"/>
    <w:rsid w:val="002672C4"/>
    <w:rsid w:val="00273BAC"/>
    <w:rsid w:val="002870BD"/>
    <w:rsid w:val="00295308"/>
    <w:rsid w:val="00296993"/>
    <w:rsid w:val="002A1E91"/>
    <w:rsid w:val="002A3756"/>
    <w:rsid w:val="002B7C03"/>
    <w:rsid w:val="002C1960"/>
    <w:rsid w:val="002C3DAB"/>
    <w:rsid w:val="002D3AC5"/>
    <w:rsid w:val="002D3FAC"/>
    <w:rsid w:val="002D4C40"/>
    <w:rsid w:val="002E0633"/>
    <w:rsid w:val="002E2F7A"/>
    <w:rsid w:val="002F0453"/>
    <w:rsid w:val="002F4077"/>
    <w:rsid w:val="002F4184"/>
    <w:rsid w:val="002F4701"/>
    <w:rsid w:val="002F4CB7"/>
    <w:rsid w:val="00306A30"/>
    <w:rsid w:val="00316983"/>
    <w:rsid w:val="00317E9A"/>
    <w:rsid w:val="00321119"/>
    <w:rsid w:val="00321B81"/>
    <w:rsid w:val="00325150"/>
    <w:rsid w:val="00327F07"/>
    <w:rsid w:val="00330922"/>
    <w:rsid w:val="00341A8B"/>
    <w:rsid w:val="00343E6D"/>
    <w:rsid w:val="003455B7"/>
    <w:rsid w:val="003457E8"/>
    <w:rsid w:val="00353D67"/>
    <w:rsid w:val="003555A4"/>
    <w:rsid w:val="00364EA9"/>
    <w:rsid w:val="003726BE"/>
    <w:rsid w:val="00373826"/>
    <w:rsid w:val="0038722F"/>
    <w:rsid w:val="003940C6"/>
    <w:rsid w:val="003A4124"/>
    <w:rsid w:val="003A5653"/>
    <w:rsid w:val="003A7DF3"/>
    <w:rsid w:val="003B0212"/>
    <w:rsid w:val="003B2CF3"/>
    <w:rsid w:val="003B563B"/>
    <w:rsid w:val="003C5351"/>
    <w:rsid w:val="003D3359"/>
    <w:rsid w:val="003D439F"/>
    <w:rsid w:val="003D5496"/>
    <w:rsid w:val="003F1039"/>
    <w:rsid w:val="003F1DF6"/>
    <w:rsid w:val="0040054E"/>
    <w:rsid w:val="00405E32"/>
    <w:rsid w:val="00413A7A"/>
    <w:rsid w:val="00421B2F"/>
    <w:rsid w:val="00427438"/>
    <w:rsid w:val="00430227"/>
    <w:rsid w:val="004378F7"/>
    <w:rsid w:val="00440B63"/>
    <w:rsid w:val="00441366"/>
    <w:rsid w:val="00442D0F"/>
    <w:rsid w:val="00444517"/>
    <w:rsid w:val="00444D70"/>
    <w:rsid w:val="0045107B"/>
    <w:rsid w:val="00453686"/>
    <w:rsid w:val="004674FC"/>
    <w:rsid w:val="004707E6"/>
    <w:rsid w:val="00470EFB"/>
    <w:rsid w:val="00470F62"/>
    <w:rsid w:val="00473F93"/>
    <w:rsid w:val="00474441"/>
    <w:rsid w:val="0047448F"/>
    <w:rsid w:val="00483532"/>
    <w:rsid w:val="00484773"/>
    <w:rsid w:val="004907DE"/>
    <w:rsid w:val="00492347"/>
    <w:rsid w:val="004935FA"/>
    <w:rsid w:val="00496B8A"/>
    <w:rsid w:val="00497577"/>
    <w:rsid w:val="004A1441"/>
    <w:rsid w:val="004A1CDB"/>
    <w:rsid w:val="004A29C9"/>
    <w:rsid w:val="004A3C31"/>
    <w:rsid w:val="004B184F"/>
    <w:rsid w:val="004C3C06"/>
    <w:rsid w:val="004C7D85"/>
    <w:rsid w:val="004E7225"/>
    <w:rsid w:val="004F12B7"/>
    <w:rsid w:val="004F213C"/>
    <w:rsid w:val="005011FB"/>
    <w:rsid w:val="005041C8"/>
    <w:rsid w:val="005069EE"/>
    <w:rsid w:val="00511DEC"/>
    <w:rsid w:val="00512295"/>
    <w:rsid w:val="00523022"/>
    <w:rsid w:val="00530EA9"/>
    <w:rsid w:val="0053512B"/>
    <w:rsid w:val="00547F95"/>
    <w:rsid w:val="0055019B"/>
    <w:rsid w:val="005523AF"/>
    <w:rsid w:val="00553691"/>
    <w:rsid w:val="00555E35"/>
    <w:rsid w:val="00557CD6"/>
    <w:rsid w:val="00563859"/>
    <w:rsid w:val="00565B01"/>
    <w:rsid w:val="0056713F"/>
    <w:rsid w:val="00570C80"/>
    <w:rsid w:val="00571C6A"/>
    <w:rsid w:val="0057205D"/>
    <w:rsid w:val="005756A2"/>
    <w:rsid w:val="005869C1"/>
    <w:rsid w:val="00591CA0"/>
    <w:rsid w:val="005A09D3"/>
    <w:rsid w:val="005A4BD6"/>
    <w:rsid w:val="005A5ECE"/>
    <w:rsid w:val="005B7EDD"/>
    <w:rsid w:val="005C3F88"/>
    <w:rsid w:val="005C44F9"/>
    <w:rsid w:val="005D1D60"/>
    <w:rsid w:val="005D351E"/>
    <w:rsid w:val="005E066B"/>
    <w:rsid w:val="005F4048"/>
    <w:rsid w:val="00612A52"/>
    <w:rsid w:val="00613789"/>
    <w:rsid w:val="0061575F"/>
    <w:rsid w:val="00616EB1"/>
    <w:rsid w:val="00622A46"/>
    <w:rsid w:val="00630CFA"/>
    <w:rsid w:val="006365C3"/>
    <w:rsid w:val="00636735"/>
    <w:rsid w:val="00636CD6"/>
    <w:rsid w:val="00642AE3"/>
    <w:rsid w:val="00646447"/>
    <w:rsid w:val="006543B4"/>
    <w:rsid w:val="00657467"/>
    <w:rsid w:val="00660EA7"/>
    <w:rsid w:val="00672E91"/>
    <w:rsid w:val="00674139"/>
    <w:rsid w:val="00674CBC"/>
    <w:rsid w:val="006872B8"/>
    <w:rsid w:val="00696472"/>
    <w:rsid w:val="00697D7C"/>
    <w:rsid w:val="006A022E"/>
    <w:rsid w:val="006A6CAF"/>
    <w:rsid w:val="006B03A3"/>
    <w:rsid w:val="006C752E"/>
    <w:rsid w:val="006D21AC"/>
    <w:rsid w:val="006E0FE8"/>
    <w:rsid w:val="006E2E7A"/>
    <w:rsid w:val="006E6AC5"/>
    <w:rsid w:val="006E6D1A"/>
    <w:rsid w:val="006F1AFA"/>
    <w:rsid w:val="00705AF6"/>
    <w:rsid w:val="00706DEA"/>
    <w:rsid w:val="0070780A"/>
    <w:rsid w:val="00711199"/>
    <w:rsid w:val="00714DC5"/>
    <w:rsid w:val="007155C5"/>
    <w:rsid w:val="00721E12"/>
    <w:rsid w:val="007238EC"/>
    <w:rsid w:val="00732F14"/>
    <w:rsid w:val="0074444C"/>
    <w:rsid w:val="00746237"/>
    <w:rsid w:val="007571A9"/>
    <w:rsid w:val="007604FD"/>
    <w:rsid w:val="007622DF"/>
    <w:rsid w:val="00762B1E"/>
    <w:rsid w:val="007705B3"/>
    <w:rsid w:val="00773BE5"/>
    <w:rsid w:val="00782506"/>
    <w:rsid w:val="00786E77"/>
    <w:rsid w:val="00787D1E"/>
    <w:rsid w:val="00790656"/>
    <w:rsid w:val="007A1162"/>
    <w:rsid w:val="007A1F40"/>
    <w:rsid w:val="007B6F87"/>
    <w:rsid w:val="007C11DE"/>
    <w:rsid w:val="007D0B2E"/>
    <w:rsid w:val="007D31D6"/>
    <w:rsid w:val="007E451B"/>
    <w:rsid w:val="007F0E0E"/>
    <w:rsid w:val="007F5573"/>
    <w:rsid w:val="0080080B"/>
    <w:rsid w:val="00800EBF"/>
    <w:rsid w:val="008030AB"/>
    <w:rsid w:val="00803E02"/>
    <w:rsid w:val="00804E68"/>
    <w:rsid w:val="00814B43"/>
    <w:rsid w:val="008200C1"/>
    <w:rsid w:val="00821240"/>
    <w:rsid w:val="00823291"/>
    <w:rsid w:val="0082368D"/>
    <w:rsid w:val="00823866"/>
    <w:rsid w:val="00824AA1"/>
    <w:rsid w:val="00824D60"/>
    <w:rsid w:val="008336B0"/>
    <w:rsid w:val="0083519B"/>
    <w:rsid w:val="00836D71"/>
    <w:rsid w:val="00845AE1"/>
    <w:rsid w:val="00850339"/>
    <w:rsid w:val="008603B6"/>
    <w:rsid w:val="00862E84"/>
    <w:rsid w:val="00866679"/>
    <w:rsid w:val="00872BA8"/>
    <w:rsid w:val="00877F28"/>
    <w:rsid w:val="0089317B"/>
    <w:rsid w:val="008958E2"/>
    <w:rsid w:val="008A219E"/>
    <w:rsid w:val="008A22FB"/>
    <w:rsid w:val="008A3D33"/>
    <w:rsid w:val="008A54AA"/>
    <w:rsid w:val="008A5A93"/>
    <w:rsid w:val="008B5F94"/>
    <w:rsid w:val="008C71DD"/>
    <w:rsid w:val="008D0448"/>
    <w:rsid w:val="008D2A2E"/>
    <w:rsid w:val="008E214D"/>
    <w:rsid w:val="008E5BEE"/>
    <w:rsid w:val="009002B8"/>
    <w:rsid w:val="009010F3"/>
    <w:rsid w:val="009025C0"/>
    <w:rsid w:val="00904F1C"/>
    <w:rsid w:val="0091447D"/>
    <w:rsid w:val="00914AFC"/>
    <w:rsid w:val="009202B6"/>
    <w:rsid w:val="009231FE"/>
    <w:rsid w:val="00923CFF"/>
    <w:rsid w:val="00924DD2"/>
    <w:rsid w:val="0092655F"/>
    <w:rsid w:val="00930A88"/>
    <w:rsid w:val="00930E38"/>
    <w:rsid w:val="00931BFC"/>
    <w:rsid w:val="00952056"/>
    <w:rsid w:val="009544D9"/>
    <w:rsid w:val="009662FF"/>
    <w:rsid w:val="0097252F"/>
    <w:rsid w:val="0097524C"/>
    <w:rsid w:val="00977544"/>
    <w:rsid w:val="009808A4"/>
    <w:rsid w:val="009808C6"/>
    <w:rsid w:val="009826AD"/>
    <w:rsid w:val="00982F50"/>
    <w:rsid w:val="009830F7"/>
    <w:rsid w:val="00986B8C"/>
    <w:rsid w:val="0099322B"/>
    <w:rsid w:val="0099375C"/>
    <w:rsid w:val="009A53B6"/>
    <w:rsid w:val="009A7122"/>
    <w:rsid w:val="009A774D"/>
    <w:rsid w:val="009B7105"/>
    <w:rsid w:val="009C18B8"/>
    <w:rsid w:val="009D63D0"/>
    <w:rsid w:val="009D6955"/>
    <w:rsid w:val="009E6B76"/>
    <w:rsid w:val="009F7C04"/>
    <w:rsid w:val="00A012FF"/>
    <w:rsid w:val="00A038F7"/>
    <w:rsid w:val="00A1307D"/>
    <w:rsid w:val="00A2376B"/>
    <w:rsid w:val="00A263B1"/>
    <w:rsid w:val="00A27BA9"/>
    <w:rsid w:val="00A34EA4"/>
    <w:rsid w:val="00A45D3B"/>
    <w:rsid w:val="00A52929"/>
    <w:rsid w:val="00A578BD"/>
    <w:rsid w:val="00A60329"/>
    <w:rsid w:val="00A611CD"/>
    <w:rsid w:val="00A638C8"/>
    <w:rsid w:val="00A652A1"/>
    <w:rsid w:val="00A82C3C"/>
    <w:rsid w:val="00A95B7E"/>
    <w:rsid w:val="00AA25C6"/>
    <w:rsid w:val="00AC5702"/>
    <w:rsid w:val="00AE0F29"/>
    <w:rsid w:val="00AE4A11"/>
    <w:rsid w:val="00AE4CF1"/>
    <w:rsid w:val="00AE5F65"/>
    <w:rsid w:val="00AE687F"/>
    <w:rsid w:val="00AE705A"/>
    <w:rsid w:val="00AF537C"/>
    <w:rsid w:val="00B051FC"/>
    <w:rsid w:val="00B1028B"/>
    <w:rsid w:val="00B12D81"/>
    <w:rsid w:val="00B13C07"/>
    <w:rsid w:val="00B16C9F"/>
    <w:rsid w:val="00B41CB4"/>
    <w:rsid w:val="00B52871"/>
    <w:rsid w:val="00B52C78"/>
    <w:rsid w:val="00B674A0"/>
    <w:rsid w:val="00B76AE1"/>
    <w:rsid w:val="00B80C9A"/>
    <w:rsid w:val="00B81409"/>
    <w:rsid w:val="00B84208"/>
    <w:rsid w:val="00B8782E"/>
    <w:rsid w:val="00B96CE6"/>
    <w:rsid w:val="00BA41B6"/>
    <w:rsid w:val="00BA6F1F"/>
    <w:rsid w:val="00BB06D9"/>
    <w:rsid w:val="00BB63C7"/>
    <w:rsid w:val="00BC286E"/>
    <w:rsid w:val="00BC319E"/>
    <w:rsid w:val="00BC41A1"/>
    <w:rsid w:val="00BC456F"/>
    <w:rsid w:val="00BC4E65"/>
    <w:rsid w:val="00BC6411"/>
    <w:rsid w:val="00BD3330"/>
    <w:rsid w:val="00BD534B"/>
    <w:rsid w:val="00BE0DB0"/>
    <w:rsid w:val="00BF3B28"/>
    <w:rsid w:val="00C02F10"/>
    <w:rsid w:val="00C12794"/>
    <w:rsid w:val="00C13A15"/>
    <w:rsid w:val="00C25BBB"/>
    <w:rsid w:val="00C327E4"/>
    <w:rsid w:val="00C35499"/>
    <w:rsid w:val="00C40F47"/>
    <w:rsid w:val="00C557DA"/>
    <w:rsid w:val="00C56263"/>
    <w:rsid w:val="00C63441"/>
    <w:rsid w:val="00C65CBB"/>
    <w:rsid w:val="00C7340F"/>
    <w:rsid w:val="00C73B7B"/>
    <w:rsid w:val="00C76383"/>
    <w:rsid w:val="00C8249D"/>
    <w:rsid w:val="00C867B6"/>
    <w:rsid w:val="00C92147"/>
    <w:rsid w:val="00C92B54"/>
    <w:rsid w:val="00C92E5C"/>
    <w:rsid w:val="00C9375B"/>
    <w:rsid w:val="00C948C9"/>
    <w:rsid w:val="00C94ACE"/>
    <w:rsid w:val="00C95957"/>
    <w:rsid w:val="00C96453"/>
    <w:rsid w:val="00CA34CA"/>
    <w:rsid w:val="00CA4B2F"/>
    <w:rsid w:val="00CB01ED"/>
    <w:rsid w:val="00CB65AE"/>
    <w:rsid w:val="00CB752C"/>
    <w:rsid w:val="00CC1B95"/>
    <w:rsid w:val="00CC5C97"/>
    <w:rsid w:val="00CD6FF3"/>
    <w:rsid w:val="00CE61D8"/>
    <w:rsid w:val="00CF3F58"/>
    <w:rsid w:val="00CF445A"/>
    <w:rsid w:val="00D008AE"/>
    <w:rsid w:val="00D05D3D"/>
    <w:rsid w:val="00D120A2"/>
    <w:rsid w:val="00D13120"/>
    <w:rsid w:val="00D13E6D"/>
    <w:rsid w:val="00D152AA"/>
    <w:rsid w:val="00D16B74"/>
    <w:rsid w:val="00D26B95"/>
    <w:rsid w:val="00D333BE"/>
    <w:rsid w:val="00D35A2B"/>
    <w:rsid w:val="00D47C36"/>
    <w:rsid w:val="00D5220D"/>
    <w:rsid w:val="00D525B3"/>
    <w:rsid w:val="00D5309D"/>
    <w:rsid w:val="00D576A7"/>
    <w:rsid w:val="00D83253"/>
    <w:rsid w:val="00D8457B"/>
    <w:rsid w:val="00D913F7"/>
    <w:rsid w:val="00DA5CF1"/>
    <w:rsid w:val="00DA5E7F"/>
    <w:rsid w:val="00DB4147"/>
    <w:rsid w:val="00DB56EF"/>
    <w:rsid w:val="00DD0020"/>
    <w:rsid w:val="00DD1A6D"/>
    <w:rsid w:val="00DE2788"/>
    <w:rsid w:val="00E001E9"/>
    <w:rsid w:val="00E04D1E"/>
    <w:rsid w:val="00E11366"/>
    <w:rsid w:val="00E13C9E"/>
    <w:rsid w:val="00E336BA"/>
    <w:rsid w:val="00E36C6B"/>
    <w:rsid w:val="00E4090D"/>
    <w:rsid w:val="00E41A40"/>
    <w:rsid w:val="00E4363A"/>
    <w:rsid w:val="00E4373A"/>
    <w:rsid w:val="00E470D2"/>
    <w:rsid w:val="00E61717"/>
    <w:rsid w:val="00E63513"/>
    <w:rsid w:val="00E7270B"/>
    <w:rsid w:val="00E7279D"/>
    <w:rsid w:val="00E761F3"/>
    <w:rsid w:val="00E83851"/>
    <w:rsid w:val="00E84B38"/>
    <w:rsid w:val="00E85E81"/>
    <w:rsid w:val="00E93A07"/>
    <w:rsid w:val="00EA4464"/>
    <w:rsid w:val="00EA6F43"/>
    <w:rsid w:val="00EB4748"/>
    <w:rsid w:val="00EC6B75"/>
    <w:rsid w:val="00ED053D"/>
    <w:rsid w:val="00EE1591"/>
    <w:rsid w:val="00EE5DA3"/>
    <w:rsid w:val="00EE798E"/>
    <w:rsid w:val="00EF492E"/>
    <w:rsid w:val="00EF6340"/>
    <w:rsid w:val="00F02981"/>
    <w:rsid w:val="00F03362"/>
    <w:rsid w:val="00F0639A"/>
    <w:rsid w:val="00F104F5"/>
    <w:rsid w:val="00F35148"/>
    <w:rsid w:val="00F37023"/>
    <w:rsid w:val="00F448BD"/>
    <w:rsid w:val="00F46DB6"/>
    <w:rsid w:val="00F57F42"/>
    <w:rsid w:val="00F66C21"/>
    <w:rsid w:val="00F709E3"/>
    <w:rsid w:val="00F73CBA"/>
    <w:rsid w:val="00F764B7"/>
    <w:rsid w:val="00F82DEE"/>
    <w:rsid w:val="00F86B37"/>
    <w:rsid w:val="00F9211E"/>
    <w:rsid w:val="00F9222D"/>
    <w:rsid w:val="00F97196"/>
    <w:rsid w:val="00F97D09"/>
    <w:rsid w:val="00FA01F3"/>
    <w:rsid w:val="00FA2A54"/>
    <w:rsid w:val="00FA7929"/>
    <w:rsid w:val="00FB3DA6"/>
    <w:rsid w:val="00FB7654"/>
    <w:rsid w:val="00FC31BE"/>
    <w:rsid w:val="00FC61A3"/>
    <w:rsid w:val="00FC6F97"/>
    <w:rsid w:val="00FD1B08"/>
    <w:rsid w:val="00FD34D2"/>
    <w:rsid w:val="00FD3F32"/>
    <w:rsid w:val="00FE42AC"/>
    <w:rsid w:val="00FF1226"/>
    <w:rsid w:val="6685D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9326B3A"/>
  <w15:docId w15:val="{A455DD52-39D1-4537-AFC5-D190518D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after="120"/>
      <w:contextualSpacing/>
      <w:outlineLvl w:val="0"/>
    </w:pPr>
    <w:rPr>
      <w:b/>
      <w:sz w:val="48"/>
      <w:szCs w:val="48"/>
    </w:rPr>
  </w:style>
  <w:style w:type="paragraph" w:styleId="Heading2">
    <w:name w:val="heading 2"/>
    <w:basedOn w:val="Normal"/>
    <w:next w:val="Normal"/>
    <w:pPr>
      <w:keepNext/>
      <w:keepLines/>
      <w:numPr>
        <w:ilvl w:val="1"/>
        <w:numId w:val="2"/>
      </w:numPr>
      <w:spacing w:before="360" w:after="80"/>
      <w:contextualSpacing/>
      <w:outlineLvl w:val="1"/>
    </w:pPr>
    <w:rPr>
      <w:b/>
      <w:sz w:val="36"/>
      <w:szCs w:val="36"/>
    </w:rPr>
  </w:style>
  <w:style w:type="paragraph" w:styleId="Heading3">
    <w:name w:val="heading 3"/>
    <w:basedOn w:val="Normal"/>
    <w:next w:val="Normal"/>
    <w:pPr>
      <w:keepNext/>
      <w:keepLines/>
      <w:numPr>
        <w:ilvl w:val="2"/>
        <w:numId w:val="2"/>
      </w:numPr>
      <w:spacing w:before="280" w:after="80"/>
      <w:contextualSpacing/>
      <w:outlineLvl w:val="2"/>
    </w:pPr>
    <w:rPr>
      <w:b/>
      <w:sz w:val="28"/>
      <w:szCs w:val="28"/>
    </w:rPr>
  </w:style>
  <w:style w:type="paragraph" w:styleId="Heading4">
    <w:name w:val="heading 4"/>
    <w:basedOn w:val="Normal"/>
    <w:next w:val="Normal"/>
    <w:pPr>
      <w:keepNext/>
      <w:keepLines/>
      <w:numPr>
        <w:ilvl w:val="3"/>
        <w:numId w:val="2"/>
      </w:numPr>
      <w:spacing w:before="240" w:after="40"/>
      <w:contextualSpacing/>
      <w:outlineLvl w:val="3"/>
    </w:pPr>
    <w:rPr>
      <w:b/>
      <w:sz w:val="24"/>
      <w:szCs w:val="24"/>
    </w:rPr>
  </w:style>
  <w:style w:type="paragraph" w:styleId="Heading5">
    <w:name w:val="heading 5"/>
    <w:basedOn w:val="Normal"/>
    <w:next w:val="Normal"/>
    <w:pPr>
      <w:keepNext/>
      <w:keepLines/>
      <w:numPr>
        <w:ilvl w:val="4"/>
        <w:numId w:val="2"/>
      </w:numPr>
      <w:spacing w:before="220" w:after="40"/>
      <w:contextualSpacing/>
      <w:outlineLvl w:val="4"/>
    </w:pPr>
    <w:rPr>
      <w:b/>
    </w:rPr>
  </w:style>
  <w:style w:type="paragraph" w:styleId="Heading6">
    <w:name w:val="heading 6"/>
    <w:basedOn w:val="Normal"/>
    <w:next w:val="Normal"/>
    <w:pPr>
      <w:keepNext/>
      <w:keepLines/>
      <w:numPr>
        <w:ilvl w:val="5"/>
        <w:numId w:val="2"/>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923CF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23CF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3CF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7">
    <w:name w:val="7"/>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6">
    <w:name w:val="6"/>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5">
    <w:name w:val="5"/>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6F97"/>
    <w:rPr>
      <w:rFonts w:ascii="Tahoma" w:hAnsi="Tahoma" w:cs="Tahoma"/>
      <w:sz w:val="16"/>
      <w:szCs w:val="16"/>
    </w:rPr>
  </w:style>
  <w:style w:type="character" w:customStyle="1" w:styleId="BalloonTextChar">
    <w:name w:val="Balloon Text Char"/>
    <w:basedOn w:val="DefaultParagraphFont"/>
    <w:link w:val="BalloonText"/>
    <w:uiPriority w:val="99"/>
    <w:semiHidden/>
    <w:rsid w:val="00FC6F9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C6F97"/>
    <w:rPr>
      <w:b/>
      <w:bCs/>
    </w:rPr>
  </w:style>
  <w:style w:type="character" w:customStyle="1" w:styleId="CommentSubjectChar">
    <w:name w:val="Comment Subject Char"/>
    <w:basedOn w:val="CommentTextChar"/>
    <w:link w:val="CommentSubject"/>
    <w:uiPriority w:val="99"/>
    <w:semiHidden/>
    <w:rsid w:val="00FC6F97"/>
    <w:rPr>
      <w:b/>
      <w:bCs/>
      <w:sz w:val="20"/>
      <w:szCs w:val="20"/>
    </w:rPr>
  </w:style>
  <w:style w:type="paragraph" w:styleId="Header">
    <w:name w:val="header"/>
    <w:basedOn w:val="Normal"/>
    <w:link w:val="HeaderChar"/>
    <w:uiPriority w:val="99"/>
    <w:unhideWhenUsed/>
    <w:rsid w:val="00DB4147"/>
    <w:pPr>
      <w:tabs>
        <w:tab w:val="center" w:pos="4680"/>
        <w:tab w:val="right" w:pos="9360"/>
      </w:tabs>
    </w:pPr>
  </w:style>
  <w:style w:type="character" w:customStyle="1" w:styleId="HeaderChar">
    <w:name w:val="Header Char"/>
    <w:basedOn w:val="DefaultParagraphFont"/>
    <w:link w:val="Header"/>
    <w:uiPriority w:val="99"/>
    <w:rsid w:val="00DB4147"/>
  </w:style>
  <w:style w:type="paragraph" w:styleId="Footer">
    <w:name w:val="footer"/>
    <w:basedOn w:val="Normal"/>
    <w:link w:val="FooterChar"/>
    <w:uiPriority w:val="99"/>
    <w:unhideWhenUsed/>
    <w:rsid w:val="00DB4147"/>
    <w:pPr>
      <w:tabs>
        <w:tab w:val="center" w:pos="4680"/>
        <w:tab w:val="right" w:pos="9360"/>
      </w:tabs>
    </w:pPr>
  </w:style>
  <w:style w:type="character" w:customStyle="1" w:styleId="FooterChar">
    <w:name w:val="Footer Char"/>
    <w:basedOn w:val="DefaultParagraphFont"/>
    <w:link w:val="Footer"/>
    <w:uiPriority w:val="99"/>
    <w:rsid w:val="00DB4147"/>
  </w:style>
  <w:style w:type="table" w:styleId="TableGrid">
    <w:name w:val="Table Grid"/>
    <w:basedOn w:val="TableNormal"/>
    <w:uiPriority w:val="39"/>
    <w:rsid w:val="00823866"/>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25C0"/>
    <w:rPr>
      <w:sz w:val="20"/>
      <w:szCs w:val="20"/>
    </w:rPr>
  </w:style>
  <w:style w:type="character" w:customStyle="1" w:styleId="FootnoteTextChar">
    <w:name w:val="Footnote Text Char"/>
    <w:basedOn w:val="DefaultParagraphFont"/>
    <w:link w:val="FootnoteText"/>
    <w:uiPriority w:val="99"/>
    <w:semiHidden/>
    <w:rsid w:val="009025C0"/>
    <w:rPr>
      <w:sz w:val="20"/>
      <w:szCs w:val="20"/>
    </w:rPr>
  </w:style>
  <w:style w:type="character" w:styleId="FootnoteReference">
    <w:name w:val="footnote reference"/>
    <w:basedOn w:val="DefaultParagraphFont"/>
    <w:uiPriority w:val="99"/>
    <w:semiHidden/>
    <w:unhideWhenUsed/>
    <w:rsid w:val="009025C0"/>
    <w:rPr>
      <w:vertAlign w:val="superscript"/>
    </w:rPr>
  </w:style>
  <w:style w:type="paragraph" w:styleId="ListParagraph">
    <w:name w:val="List Paragraph"/>
    <w:basedOn w:val="Normal"/>
    <w:uiPriority w:val="34"/>
    <w:qFormat/>
    <w:rsid w:val="00836D71"/>
    <w:pPr>
      <w:ind w:left="720"/>
      <w:contextualSpacing/>
    </w:pPr>
  </w:style>
  <w:style w:type="paragraph" w:customStyle="1" w:styleId="BEHeader1">
    <w:name w:val="BE_Header1"/>
    <w:basedOn w:val="Heading1"/>
    <w:link w:val="BEHeader1Char"/>
    <w:qFormat/>
    <w:rsid w:val="00923CFF"/>
    <w:pPr>
      <w:numPr>
        <w:numId w:val="2"/>
      </w:numPr>
      <w:spacing w:before="0" w:after="0"/>
    </w:pPr>
    <w:rPr>
      <w:b w:val="0"/>
      <w:color w:val="4472C4"/>
      <w:sz w:val="24"/>
    </w:rPr>
  </w:style>
  <w:style w:type="character" w:customStyle="1" w:styleId="Heading7Char">
    <w:name w:val="Heading 7 Char"/>
    <w:basedOn w:val="DefaultParagraphFont"/>
    <w:link w:val="Heading7"/>
    <w:uiPriority w:val="9"/>
    <w:semiHidden/>
    <w:rsid w:val="00923CFF"/>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923CFF"/>
    <w:rPr>
      <w:b/>
      <w:sz w:val="48"/>
      <w:szCs w:val="48"/>
    </w:rPr>
  </w:style>
  <w:style w:type="character" w:customStyle="1" w:styleId="BEHeader1Char">
    <w:name w:val="BE_Header1 Char"/>
    <w:basedOn w:val="Heading1Char"/>
    <w:link w:val="BEHeader1"/>
    <w:rsid w:val="00923CFF"/>
    <w:rPr>
      <w:b w:val="0"/>
      <w:color w:val="4472C4"/>
      <w:sz w:val="24"/>
      <w:szCs w:val="48"/>
    </w:rPr>
  </w:style>
  <w:style w:type="character" w:customStyle="1" w:styleId="Heading8Char">
    <w:name w:val="Heading 8 Char"/>
    <w:basedOn w:val="DefaultParagraphFont"/>
    <w:link w:val="Heading8"/>
    <w:uiPriority w:val="9"/>
    <w:semiHidden/>
    <w:rsid w:val="00923C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23CF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0942">
      <w:bodyDiv w:val="1"/>
      <w:marLeft w:val="0"/>
      <w:marRight w:val="0"/>
      <w:marTop w:val="0"/>
      <w:marBottom w:val="0"/>
      <w:divBdr>
        <w:top w:val="none" w:sz="0" w:space="0" w:color="auto"/>
        <w:left w:val="none" w:sz="0" w:space="0" w:color="auto"/>
        <w:bottom w:val="none" w:sz="0" w:space="0" w:color="auto"/>
        <w:right w:val="none" w:sz="0" w:space="0" w:color="auto"/>
      </w:divBdr>
    </w:div>
    <w:div w:id="853302900">
      <w:bodyDiv w:val="1"/>
      <w:marLeft w:val="0"/>
      <w:marRight w:val="0"/>
      <w:marTop w:val="0"/>
      <w:marBottom w:val="0"/>
      <w:divBdr>
        <w:top w:val="none" w:sz="0" w:space="0" w:color="auto"/>
        <w:left w:val="none" w:sz="0" w:space="0" w:color="auto"/>
        <w:bottom w:val="none" w:sz="0" w:space="0" w:color="auto"/>
        <w:right w:val="none" w:sz="0" w:space="0" w:color="auto"/>
      </w:divBdr>
    </w:div>
    <w:div w:id="1047145348">
      <w:bodyDiv w:val="1"/>
      <w:marLeft w:val="0"/>
      <w:marRight w:val="0"/>
      <w:marTop w:val="0"/>
      <w:marBottom w:val="0"/>
      <w:divBdr>
        <w:top w:val="none" w:sz="0" w:space="0" w:color="auto"/>
        <w:left w:val="none" w:sz="0" w:space="0" w:color="auto"/>
        <w:bottom w:val="none" w:sz="0" w:space="0" w:color="auto"/>
        <w:right w:val="none" w:sz="0" w:space="0" w:color="auto"/>
      </w:divBdr>
    </w:div>
    <w:div w:id="1365789235">
      <w:bodyDiv w:val="1"/>
      <w:marLeft w:val="0"/>
      <w:marRight w:val="0"/>
      <w:marTop w:val="0"/>
      <w:marBottom w:val="0"/>
      <w:divBdr>
        <w:top w:val="none" w:sz="0" w:space="0" w:color="auto"/>
        <w:left w:val="none" w:sz="0" w:space="0" w:color="auto"/>
        <w:bottom w:val="none" w:sz="0" w:space="0" w:color="auto"/>
        <w:right w:val="none" w:sz="0" w:space="0" w:color="auto"/>
      </w:divBdr>
    </w:div>
    <w:div w:id="1423447885">
      <w:bodyDiv w:val="1"/>
      <w:marLeft w:val="0"/>
      <w:marRight w:val="0"/>
      <w:marTop w:val="0"/>
      <w:marBottom w:val="0"/>
      <w:divBdr>
        <w:top w:val="none" w:sz="0" w:space="0" w:color="auto"/>
        <w:left w:val="none" w:sz="0" w:space="0" w:color="auto"/>
        <w:bottom w:val="none" w:sz="0" w:space="0" w:color="auto"/>
        <w:right w:val="none" w:sz="0" w:space="0" w:color="auto"/>
      </w:divBdr>
    </w:div>
    <w:div w:id="1800143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2018-01-03T12:36:45+00:00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Donovan, Elizabeth</DisplayName>
        <AccountId>580</AccountId>
        <AccountType/>
      </UserInfo>
      <UserInfo>
        <DisplayName>Rossmeisl, Colleen</DisplayName>
        <AccountId>825</AccountId>
        <AccountType/>
      </UserInfo>
      <UserInfo>
        <DisplayName>Fowler, Jerrett</DisplayName>
        <AccountId>6397</AccountId>
        <AccountType/>
      </UserInfo>
      <UserInfo>
        <DisplayName>Wendel, Christina</DisplayName>
        <AccountId>4298</AccountId>
        <AccountType/>
      </UserInfo>
      <UserInfo>
        <DisplayName>Blankinship, Amy</DisplayName>
        <AccountId>1004</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6CA70-2506-429B-872E-6EFA8110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18C39-E8F2-410F-9CA2-445145064289}">
  <ds:schemaRefs>
    <ds:schemaRef ds:uri="Microsoft.SharePoint.Taxonomy.ContentTypeSync"/>
  </ds:schemaRefs>
</ds:datastoreItem>
</file>

<file path=customXml/itemProps3.xml><?xml version="1.0" encoding="utf-8"?>
<ds:datastoreItem xmlns:ds="http://schemas.openxmlformats.org/officeDocument/2006/customXml" ds:itemID="{8C59760B-1093-4FC4-97DA-1961F1DF8796}">
  <ds:schemaRefs>
    <ds:schemaRef ds:uri="http://purl.org/dc/terms/"/>
    <ds:schemaRef ds:uri="http://schemas.microsoft.com/office/infopath/2007/PartnerControls"/>
    <ds:schemaRef ds:uri="http://schemas.microsoft.com/sharepoint/v3/fields"/>
    <ds:schemaRef ds:uri="http://schemas.openxmlformats.org/package/2006/metadata/core-properties"/>
    <ds:schemaRef ds:uri="1b69afd8-9bdb-481b-b26a-06cbd17fa30c"/>
    <ds:schemaRef ds:uri="http://schemas.microsoft.com/office/2006/documentManagement/types"/>
    <ds:schemaRef ds:uri="http://schemas.microsoft.com/office/2006/metadata/properties"/>
    <ds:schemaRef ds:uri="http://purl.org/dc/dcmitype/"/>
    <ds:schemaRef ds:uri="http://schemas.microsoft.com/sharepoint/v3"/>
    <ds:schemaRef ds:uri="a5d1ca4e-0a3f-4119-b619-e20b93ebd1aa"/>
    <ds:schemaRef ds:uri="http://purl.org/dc/elements/1.1/"/>
    <ds:schemaRef ds:uri="http://schemas.microsoft.com/sharepoint.v3"/>
    <ds:schemaRef ds:uri="4ffa91fb-a0ff-4ac5-b2db-65c790d184a4"/>
    <ds:schemaRef ds:uri="http://www.w3.org/XML/1998/namespace"/>
  </ds:schemaRefs>
</ds:datastoreItem>
</file>

<file path=customXml/itemProps4.xml><?xml version="1.0" encoding="utf-8"?>
<ds:datastoreItem xmlns:ds="http://schemas.openxmlformats.org/officeDocument/2006/customXml" ds:itemID="{70F20939-A71A-4728-942D-B1BAD0412E62}">
  <ds:schemaRefs>
    <ds:schemaRef ds:uri="http://schemas.microsoft.com/sharepoint/v3/contenttype/forms"/>
  </ds:schemaRefs>
</ds:datastoreItem>
</file>

<file path=customXml/itemProps5.xml><?xml version="1.0" encoding="utf-8"?>
<ds:datastoreItem xmlns:ds="http://schemas.openxmlformats.org/officeDocument/2006/customXml" ds:itemID="{535A6DC3-617B-400C-B400-932F756D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3</Pages>
  <Words>1008</Words>
  <Characters>5748</Characters>
  <Application>Microsoft Office Word</Application>
  <DocSecurity>10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Donovan, Elizabeth</dc:creator>
  <cp:lastModifiedBy>Louie-Juzwiak, Rosanna</cp:lastModifiedBy>
  <cp:revision>17</cp:revision>
  <cp:lastPrinted>2016-10-12T19:05:00Z</cp:lastPrinted>
  <dcterms:created xsi:type="dcterms:W3CDTF">2020-09-22T19:49:00Z</dcterms:created>
  <dcterms:modified xsi:type="dcterms:W3CDTF">2020-10-13T17:19:00Z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